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3256"/>
        <w:gridCol w:w="4110"/>
        <w:gridCol w:w="1560"/>
      </w:tblGrid>
      <w:tr w:rsidR="00722268" w14:paraId="42A4CAE4" w14:textId="77777777" w:rsidTr="0063592B">
        <w:tc>
          <w:tcPr>
            <w:tcW w:w="8926" w:type="dxa"/>
            <w:gridSpan w:val="3"/>
            <w:shd w:val="clear" w:color="auto" w:fill="BFBFBF" w:themeFill="background1" w:themeFillShade="BF"/>
          </w:tcPr>
          <w:p w14:paraId="63BF72D2" w14:textId="77777777" w:rsidR="00722268" w:rsidRPr="00D35AB5" w:rsidRDefault="00722268" w:rsidP="004C1242">
            <w:pPr>
              <w:spacing w:before="60" w:after="60"/>
              <w:jc w:val="center"/>
              <w:rPr>
                <w:rFonts w:ascii="Arial" w:hAnsi="Arial" w:cs="Arial"/>
                <w:b/>
                <w:bCs/>
                <w:szCs w:val="22"/>
              </w:rPr>
            </w:pPr>
            <w:r w:rsidRPr="00D35AB5">
              <w:rPr>
                <w:rFonts w:ascii="Arial" w:hAnsi="Arial" w:cs="Arial"/>
                <w:b/>
                <w:bCs/>
                <w:szCs w:val="22"/>
              </w:rPr>
              <w:t>State Environmental Planning Policy (Precincts – Western Parklands City) 2021</w:t>
            </w:r>
            <w:r>
              <w:rPr>
                <w:rFonts w:ascii="Arial" w:hAnsi="Arial" w:cs="Arial"/>
                <w:b/>
                <w:bCs/>
                <w:szCs w:val="22"/>
              </w:rPr>
              <w:t xml:space="preserve"> – Appendix 2 Oran Park and Turner Road Precinct Plan </w:t>
            </w:r>
          </w:p>
        </w:tc>
      </w:tr>
      <w:tr w:rsidR="00722268" w14:paraId="16E8E856" w14:textId="77777777" w:rsidTr="0063592B">
        <w:tc>
          <w:tcPr>
            <w:tcW w:w="3256" w:type="dxa"/>
            <w:shd w:val="clear" w:color="auto" w:fill="D9D9D9" w:themeFill="background1" w:themeFillShade="D9"/>
          </w:tcPr>
          <w:p w14:paraId="4708562F" w14:textId="77777777" w:rsidR="00722268" w:rsidRPr="00D35AB5" w:rsidRDefault="00722268" w:rsidP="004C1242">
            <w:pPr>
              <w:spacing w:before="60" w:after="60"/>
              <w:jc w:val="center"/>
              <w:rPr>
                <w:rFonts w:ascii="Arial" w:hAnsi="Arial" w:cs="Arial"/>
                <w:b/>
                <w:bCs/>
                <w:szCs w:val="22"/>
              </w:rPr>
            </w:pPr>
            <w:r w:rsidRPr="00D35AB5">
              <w:rPr>
                <w:rFonts w:ascii="Arial" w:hAnsi="Arial" w:cs="Arial"/>
                <w:b/>
                <w:bCs/>
                <w:szCs w:val="22"/>
              </w:rPr>
              <w:t>Section</w:t>
            </w:r>
          </w:p>
        </w:tc>
        <w:tc>
          <w:tcPr>
            <w:tcW w:w="4110" w:type="dxa"/>
            <w:shd w:val="clear" w:color="auto" w:fill="D9D9D9" w:themeFill="background1" w:themeFillShade="D9"/>
          </w:tcPr>
          <w:p w14:paraId="25DF1C3F" w14:textId="77777777" w:rsidR="00722268" w:rsidRPr="00D35AB5" w:rsidRDefault="00722268" w:rsidP="004C1242">
            <w:pPr>
              <w:spacing w:before="60" w:after="60"/>
              <w:jc w:val="center"/>
              <w:rPr>
                <w:rFonts w:ascii="Arial" w:hAnsi="Arial" w:cs="Arial"/>
                <w:b/>
                <w:bCs/>
                <w:szCs w:val="22"/>
              </w:rPr>
            </w:pPr>
            <w:r w:rsidRPr="00D35AB5">
              <w:rPr>
                <w:rFonts w:ascii="Arial" w:hAnsi="Arial" w:cs="Arial"/>
                <w:b/>
                <w:bCs/>
                <w:szCs w:val="22"/>
              </w:rPr>
              <w:t>Assessment</w:t>
            </w:r>
          </w:p>
        </w:tc>
        <w:tc>
          <w:tcPr>
            <w:tcW w:w="1560" w:type="dxa"/>
            <w:shd w:val="clear" w:color="auto" w:fill="D9D9D9" w:themeFill="background1" w:themeFillShade="D9"/>
          </w:tcPr>
          <w:p w14:paraId="7B4B6830" w14:textId="77777777" w:rsidR="00722268" w:rsidRPr="00D35AB5" w:rsidRDefault="00722268" w:rsidP="004C1242">
            <w:pPr>
              <w:spacing w:before="60" w:after="60"/>
              <w:jc w:val="center"/>
              <w:rPr>
                <w:rFonts w:ascii="Arial" w:hAnsi="Arial" w:cs="Arial"/>
                <w:b/>
                <w:bCs/>
                <w:szCs w:val="22"/>
              </w:rPr>
            </w:pPr>
            <w:r w:rsidRPr="00D35AB5">
              <w:rPr>
                <w:rFonts w:ascii="Arial" w:hAnsi="Arial" w:cs="Arial"/>
                <w:b/>
                <w:bCs/>
                <w:szCs w:val="22"/>
              </w:rPr>
              <w:t>Compliance</w:t>
            </w:r>
          </w:p>
        </w:tc>
      </w:tr>
      <w:tr w:rsidR="00722268" w14:paraId="7A4ABA00" w14:textId="77777777" w:rsidTr="0063592B">
        <w:trPr>
          <w:trHeight w:val="1485"/>
        </w:trPr>
        <w:tc>
          <w:tcPr>
            <w:tcW w:w="3256" w:type="dxa"/>
            <w:tcBorders>
              <w:bottom w:val="single" w:sz="4" w:space="0" w:color="FFFFFF" w:themeColor="background1"/>
            </w:tcBorders>
          </w:tcPr>
          <w:p w14:paraId="0025D821" w14:textId="77777777" w:rsidR="00722268" w:rsidRPr="00E85F2E" w:rsidRDefault="00722268" w:rsidP="004C1242">
            <w:pPr>
              <w:jc w:val="both"/>
              <w:rPr>
                <w:rFonts w:ascii="Arial" w:hAnsi="Arial" w:cs="Arial"/>
                <w:b/>
                <w:bCs/>
                <w:i/>
                <w:iCs/>
                <w:color w:val="000000" w:themeColor="text1"/>
              </w:rPr>
            </w:pPr>
            <w:r w:rsidRPr="00E85F2E">
              <w:rPr>
                <w:rFonts w:ascii="Arial" w:hAnsi="Arial" w:cs="Arial"/>
                <w:b/>
                <w:bCs/>
                <w:i/>
                <w:iCs/>
                <w:color w:val="000000" w:themeColor="text1"/>
              </w:rPr>
              <w:t xml:space="preserve">2.2 Zoning of land to which Precinct Plan applies </w:t>
            </w:r>
          </w:p>
          <w:p w14:paraId="46E115E5" w14:textId="77777777" w:rsidR="00722268" w:rsidRPr="00E85F2E" w:rsidRDefault="00722268" w:rsidP="004C1242">
            <w:pPr>
              <w:jc w:val="both"/>
              <w:rPr>
                <w:rFonts w:ascii="Arial" w:hAnsi="Arial" w:cs="Arial"/>
                <w:i/>
                <w:iCs/>
                <w:color w:val="000000" w:themeColor="text1"/>
              </w:rPr>
            </w:pPr>
            <w:r w:rsidRPr="00E85F2E">
              <w:rPr>
                <w:rFonts w:ascii="Arial" w:hAnsi="Arial" w:cs="Arial"/>
                <w:i/>
                <w:iCs/>
                <w:color w:val="000000" w:themeColor="text1"/>
                <w:shd w:val="clear" w:color="auto" w:fill="FFFFFF"/>
              </w:rPr>
              <w:t>For the purposes of this Precinct Plan, land is within the zones shown on the </w:t>
            </w:r>
            <w:hyperlink r:id="rId7" w:tgtFrame="_blank" w:history="1">
              <w:r w:rsidRPr="00E85F2E">
                <w:rPr>
                  <w:rStyle w:val="frag-name"/>
                  <w:rFonts w:ascii="Arial" w:hAnsi="Arial" w:cs="Arial"/>
                  <w:i/>
                  <w:iCs/>
                  <w:color w:val="000000" w:themeColor="text1"/>
                  <w:shd w:val="clear" w:color="auto" w:fill="FFFFFF"/>
                </w:rPr>
                <w:t>Land Zoning Map</w:t>
              </w:r>
            </w:hyperlink>
            <w:r w:rsidRPr="00E85F2E">
              <w:rPr>
                <w:rFonts w:ascii="Arial" w:hAnsi="Arial" w:cs="Arial"/>
                <w:i/>
                <w:iCs/>
                <w:color w:val="000000" w:themeColor="text1"/>
                <w:shd w:val="clear" w:color="auto" w:fill="FFFFFF"/>
              </w:rPr>
              <w:t>.</w:t>
            </w:r>
          </w:p>
        </w:tc>
        <w:tc>
          <w:tcPr>
            <w:tcW w:w="4110" w:type="dxa"/>
            <w:tcBorders>
              <w:bottom w:val="single" w:sz="4" w:space="0" w:color="FFFFFF" w:themeColor="background1"/>
            </w:tcBorders>
          </w:tcPr>
          <w:p w14:paraId="4411DCF7" w14:textId="77777777" w:rsidR="00722268" w:rsidRPr="00452571" w:rsidRDefault="00722268" w:rsidP="004C1242">
            <w:pPr>
              <w:jc w:val="both"/>
              <w:rPr>
                <w:rFonts w:ascii="Arial" w:hAnsi="Arial" w:cs="Arial"/>
                <w:szCs w:val="18"/>
              </w:rPr>
            </w:pPr>
          </w:p>
          <w:p w14:paraId="7C56D1BC" w14:textId="77777777" w:rsidR="00722268" w:rsidRPr="00452571" w:rsidRDefault="00722268" w:rsidP="004C1242">
            <w:pPr>
              <w:jc w:val="both"/>
              <w:rPr>
                <w:rFonts w:ascii="Arial" w:hAnsi="Arial" w:cs="Arial"/>
                <w:szCs w:val="18"/>
              </w:rPr>
            </w:pPr>
          </w:p>
          <w:p w14:paraId="29B9099E" w14:textId="77777777" w:rsidR="00722268" w:rsidRPr="00452571" w:rsidRDefault="00722268" w:rsidP="004C1242">
            <w:pPr>
              <w:jc w:val="both"/>
              <w:rPr>
                <w:rFonts w:ascii="Arial" w:hAnsi="Arial" w:cs="Arial"/>
                <w:szCs w:val="18"/>
              </w:rPr>
            </w:pPr>
            <w:r w:rsidRPr="00452571">
              <w:rPr>
                <w:rFonts w:ascii="Arial" w:hAnsi="Arial" w:cs="Arial"/>
                <w:szCs w:val="18"/>
              </w:rPr>
              <w:t xml:space="preserve">The site is zoned B2 Local Centre where the proposed development is permitted with consent. </w:t>
            </w:r>
          </w:p>
        </w:tc>
        <w:tc>
          <w:tcPr>
            <w:tcW w:w="1560" w:type="dxa"/>
            <w:tcBorders>
              <w:bottom w:val="single" w:sz="4" w:space="0" w:color="FFFFFF" w:themeColor="background1"/>
            </w:tcBorders>
          </w:tcPr>
          <w:p w14:paraId="3AB2B0AA" w14:textId="77777777" w:rsidR="00722268" w:rsidRDefault="00722268" w:rsidP="004C1242">
            <w:pPr>
              <w:spacing w:before="60" w:after="60"/>
              <w:jc w:val="both"/>
              <w:rPr>
                <w:rFonts w:ascii="Arial" w:hAnsi="Arial" w:cs="Arial"/>
                <w:szCs w:val="22"/>
              </w:rPr>
            </w:pPr>
          </w:p>
          <w:p w14:paraId="7430416C" w14:textId="77777777" w:rsidR="00722268" w:rsidRDefault="00722268" w:rsidP="004C1242">
            <w:pPr>
              <w:spacing w:before="60" w:after="60"/>
              <w:jc w:val="center"/>
              <w:rPr>
                <w:rFonts w:ascii="Arial" w:hAnsi="Arial" w:cs="Arial"/>
                <w:szCs w:val="22"/>
              </w:rPr>
            </w:pPr>
            <w:r>
              <w:rPr>
                <w:rFonts w:ascii="Arial" w:hAnsi="Arial" w:cs="Arial"/>
                <w:szCs w:val="22"/>
              </w:rPr>
              <w:t>Yes</w:t>
            </w:r>
          </w:p>
        </w:tc>
      </w:tr>
      <w:tr w:rsidR="00722268" w14:paraId="736371AC" w14:textId="77777777" w:rsidTr="0063592B">
        <w:trPr>
          <w:trHeight w:val="1961"/>
        </w:trPr>
        <w:tc>
          <w:tcPr>
            <w:tcW w:w="3256" w:type="dxa"/>
            <w:tcBorders>
              <w:top w:val="single" w:sz="4" w:space="0" w:color="FFFFFF" w:themeColor="background1"/>
              <w:bottom w:val="single" w:sz="4" w:space="0" w:color="FFFFFF" w:themeColor="background1"/>
            </w:tcBorders>
          </w:tcPr>
          <w:p w14:paraId="1FCE9640" w14:textId="77777777" w:rsidR="00722268" w:rsidRPr="00E85F2E" w:rsidRDefault="00722268" w:rsidP="004C1242">
            <w:pPr>
              <w:jc w:val="both"/>
              <w:rPr>
                <w:rFonts w:ascii="Arial" w:hAnsi="Arial" w:cs="Arial"/>
                <w:b/>
                <w:bCs/>
                <w:i/>
                <w:iCs/>
                <w:color w:val="000000" w:themeColor="text1"/>
              </w:rPr>
            </w:pPr>
            <w:r w:rsidRPr="00E85F2E">
              <w:rPr>
                <w:rFonts w:ascii="Arial" w:hAnsi="Arial" w:cs="Arial"/>
                <w:b/>
                <w:bCs/>
                <w:i/>
                <w:iCs/>
                <w:color w:val="000000" w:themeColor="text1"/>
              </w:rPr>
              <w:t xml:space="preserve">2.3 Zone Objectives and Land Use Tables </w:t>
            </w:r>
          </w:p>
          <w:p w14:paraId="5366DFA7" w14:textId="77777777" w:rsidR="00722268" w:rsidRPr="00E85F2E" w:rsidRDefault="00722268" w:rsidP="004C1242">
            <w:pPr>
              <w:jc w:val="both"/>
              <w:rPr>
                <w:rFonts w:ascii="Arial" w:hAnsi="Arial" w:cs="Arial"/>
                <w:i/>
                <w:iCs/>
                <w:color w:val="000000" w:themeColor="text1"/>
              </w:rPr>
            </w:pPr>
            <w:r w:rsidRPr="00E85F2E">
              <w:rPr>
                <w:rFonts w:ascii="Arial" w:hAnsi="Arial" w:cs="Arial"/>
                <w:i/>
                <w:iCs/>
                <w:color w:val="000000" w:themeColor="text1"/>
                <w:shd w:val="clear" w:color="auto" w:fill="FFFFFF"/>
              </w:rPr>
              <w:t>The consent authority must have regard to the objectives for development in a zone when determining a development application in respect of land within the zone.</w:t>
            </w:r>
          </w:p>
        </w:tc>
        <w:tc>
          <w:tcPr>
            <w:tcW w:w="4110" w:type="dxa"/>
            <w:tcBorders>
              <w:top w:val="single" w:sz="4" w:space="0" w:color="FFFFFF" w:themeColor="background1"/>
              <w:bottom w:val="single" w:sz="4" w:space="0" w:color="FFFFFF" w:themeColor="background1"/>
            </w:tcBorders>
          </w:tcPr>
          <w:p w14:paraId="2C9EF1AC" w14:textId="77777777" w:rsidR="00722268" w:rsidRPr="00452571" w:rsidRDefault="00722268" w:rsidP="004C1242">
            <w:pPr>
              <w:jc w:val="both"/>
              <w:rPr>
                <w:rFonts w:ascii="Arial" w:hAnsi="Arial" w:cs="Arial"/>
                <w:szCs w:val="18"/>
              </w:rPr>
            </w:pPr>
          </w:p>
          <w:p w14:paraId="68AA0B74" w14:textId="77777777" w:rsidR="00722268" w:rsidRPr="00452571" w:rsidRDefault="00722268" w:rsidP="004C1242">
            <w:pPr>
              <w:jc w:val="both"/>
              <w:rPr>
                <w:rFonts w:ascii="Arial" w:hAnsi="Arial" w:cs="Arial"/>
                <w:szCs w:val="18"/>
              </w:rPr>
            </w:pPr>
          </w:p>
          <w:p w14:paraId="5E865547" w14:textId="75C1A099" w:rsidR="00722268" w:rsidRPr="00452571" w:rsidRDefault="00722268" w:rsidP="004C1242">
            <w:pPr>
              <w:jc w:val="both"/>
              <w:rPr>
                <w:rFonts w:ascii="Arial" w:hAnsi="Arial" w:cs="Arial"/>
                <w:szCs w:val="18"/>
              </w:rPr>
            </w:pPr>
            <w:r w:rsidRPr="00452571">
              <w:rPr>
                <w:rFonts w:ascii="Arial" w:hAnsi="Arial" w:cs="Arial"/>
                <w:szCs w:val="18"/>
              </w:rPr>
              <w:t xml:space="preserve">An assessment against the relevant objectives </w:t>
            </w:r>
            <w:r>
              <w:rPr>
                <w:rFonts w:ascii="Arial" w:hAnsi="Arial" w:cs="Arial"/>
                <w:szCs w:val="18"/>
              </w:rPr>
              <w:t xml:space="preserve">pursuant to the B2 Local Centre zone </w:t>
            </w:r>
            <w:r w:rsidRPr="00452571">
              <w:rPr>
                <w:rFonts w:ascii="Arial" w:hAnsi="Arial" w:cs="Arial"/>
                <w:szCs w:val="18"/>
              </w:rPr>
              <w:t xml:space="preserve">is provided below in this </w:t>
            </w:r>
            <w:r w:rsidR="00E12F92">
              <w:rPr>
                <w:rFonts w:ascii="Arial" w:hAnsi="Arial" w:cs="Arial"/>
                <w:szCs w:val="18"/>
              </w:rPr>
              <w:t>table</w:t>
            </w:r>
            <w:r w:rsidRPr="00452571">
              <w:rPr>
                <w:rFonts w:ascii="Arial" w:hAnsi="Arial" w:cs="Arial"/>
                <w:szCs w:val="18"/>
              </w:rPr>
              <w:t xml:space="preserve">. </w:t>
            </w:r>
          </w:p>
        </w:tc>
        <w:tc>
          <w:tcPr>
            <w:tcW w:w="1560" w:type="dxa"/>
            <w:tcBorders>
              <w:top w:val="single" w:sz="4" w:space="0" w:color="FFFFFF" w:themeColor="background1"/>
              <w:bottom w:val="single" w:sz="4" w:space="0" w:color="FFFFFF" w:themeColor="background1"/>
            </w:tcBorders>
          </w:tcPr>
          <w:p w14:paraId="62827376" w14:textId="77777777" w:rsidR="00722268" w:rsidRDefault="00722268" w:rsidP="004C1242">
            <w:pPr>
              <w:spacing w:before="60" w:after="60"/>
              <w:jc w:val="both"/>
              <w:rPr>
                <w:rFonts w:ascii="Arial" w:hAnsi="Arial" w:cs="Arial"/>
                <w:szCs w:val="22"/>
              </w:rPr>
            </w:pPr>
          </w:p>
          <w:p w14:paraId="41945A92" w14:textId="77777777" w:rsidR="00722268" w:rsidRDefault="00722268" w:rsidP="004C1242">
            <w:pPr>
              <w:spacing w:before="60" w:after="60"/>
              <w:jc w:val="center"/>
              <w:rPr>
                <w:rFonts w:ascii="Arial" w:hAnsi="Arial" w:cs="Arial"/>
                <w:szCs w:val="22"/>
              </w:rPr>
            </w:pPr>
            <w:r>
              <w:rPr>
                <w:rFonts w:ascii="Arial" w:hAnsi="Arial" w:cs="Arial"/>
                <w:szCs w:val="22"/>
              </w:rPr>
              <w:t>Yes</w:t>
            </w:r>
          </w:p>
        </w:tc>
      </w:tr>
      <w:tr w:rsidR="00722268" w14:paraId="7EB164C8" w14:textId="77777777" w:rsidTr="0063592B">
        <w:trPr>
          <w:trHeight w:val="228"/>
        </w:trPr>
        <w:tc>
          <w:tcPr>
            <w:tcW w:w="3256" w:type="dxa"/>
            <w:tcBorders>
              <w:top w:val="single" w:sz="4" w:space="0" w:color="FFFFFF" w:themeColor="background1"/>
              <w:bottom w:val="single" w:sz="4" w:space="0" w:color="FFFFFF"/>
            </w:tcBorders>
          </w:tcPr>
          <w:p w14:paraId="490CBD22" w14:textId="77777777" w:rsidR="00722268" w:rsidRPr="00E85F2E" w:rsidRDefault="00722268" w:rsidP="004C1242">
            <w:pPr>
              <w:jc w:val="both"/>
              <w:rPr>
                <w:rFonts w:ascii="Arial" w:hAnsi="Arial" w:cs="Arial"/>
                <w:b/>
                <w:bCs/>
                <w:i/>
                <w:iCs/>
                <w:color w:val="000000" w:themeColor="text1"/>
              </w:rPr>
            </w:pPr>
            <w:r w:rsidRPr="00E85F2E">
              <w:rPr>
                <w:rFonts w:ascii="Arial" w:hAnsi="Arial" w:cs="Arial"/>
                <w:b/>
                <w:bCs/>
                <w:i/>
                <w:iCs/>
                <w:color w:val="000000" w:themeColor="text1"/>
              </w:rPr>
              <w:t>B2 Local Centre</w:t>
            </w:r>
          </w:p>
        </w:tc>
        <w:tc>
          <w:tcPr>
            <w:tcW w:w="4110" w:type="dxa"/>
            <w:tcBorders>
              <w:top w:val="single" w:sz="4" w:space="0" w:color="FFFFFF" w:themeColor="background1"/>
              <w:bottom w:val="single" w:sz="4" w:space="0" w:color="FFFFFF" w:themeColor="background1"/>
            </w:tcBorders>
          </w:tcPr>
          <w:p w14:paraId="08C09FB1" w14:textId="77777777" w:rsidR="00722268" w:rsidRPr="00452571" w:rsidRDefault="00722268" w:rsidP="004C1242">
            <w:pPr>
              <w:jc w:val="both"/>
              <w:rPr>
                <w:rFonts w:ascii="Arial" w:hAnsi="Arial" w:cs="Arial"/>
                <w:szCs w:val="18"/>
              </w:rPr>
            </w:pPr>
          </w:p>
        </w:tc>
        <w:tc>
          <w:tcPr>
            <w:tcW w:w="1560" w:type="dxa"/>
            <w:tcBorders>
              <w:top w:val="single" w:sz="4" w:space="0" w:color="FFFFFF" w:themeColor="background1"/>
              <w:bottom w:val="single" w:sz="4" w:space="0" w:color="FFFFFF" w:themeColor="background1"/>
            </w:tcBorders>
          </w:tcPr>
          <w:p w14:paraId="60BAF0B6" w14:textId="77777777" w:rsidR="00722268" w:rsidRDefault="00722268" w:rsidP="004C1242">
            <w:pPr>
              <w:spacing w:before="60" w:after="60"/>
              <w:jc w:val="both"/>
              <w:rPr>
                <w:rFonts w:ascii="Arial" w:hAnsi="Arial" w:cs="Arial"/>
                <w:szCs w:val="22"/>
              </w:rPr>
            </w:pPr>
          </w:p>
        </w:tc>
      </w:tr>
      <w:tr w:rsidR="00722268" w14:paraId="6B799435" w14:textId="77777777" w:rsidTr="0063592B">
        <w:tc>
          <w:tcPr>
            <w:tcW w:w="3256" w:type="dxa"/>
            <w:tcBorders>
              <w:top w:val="single" w:sz="4" w:space="0" w:color="FFFFFF"/>
              <w:bottom w:val="single" w:sz="4" w:space="0" w:color="FFFFFF"/>
            </w:tcBorders>
          </w:tcPr>
          <w:p w14:paraId="767457B8" w14:textId="77777777" w:rsidR="00722268" w:rsidRPr="00901D24" w:rsidRDefault="00722268" w:rsidP="004C1242">
            <w:pPr>
              <w:pStyle w:val="ListParagraph"/>
              <w:numPr>
                <w:ilvl w:val="0"/>
                <w:numId w:val="1"/>
              </w:numPr>
              <w:ind w:left="316" w:hanging="284"/>
              <w:jc w:val="both"/>
              <w:rPr>
                <w:rFonts w:ascii="Arial" w:hAnsi="Arial" w:cs="Arial"/>
                <w:i/>
                <w:iCs/>
                <w:color w:val="000000" w:themeColor="text1"/>
                <w:shd w:val="clear" w:color="auto" w:fill="FFFFFF"/>
              </w:rPr>
            </w:pPr>
            <w:r w:rsidRPr="00901D24">
              <w:rPr>
                <w:rFonts w:ascii="Arial" w:hAnsi="Arial" w:cs="Arial"/>
                <w:i/>
                <w:iCs/>
                <w:color w:val="000000" w:themeColor="text1"/>
                <w:shd w:val="clear" w:color="auto" w:fill="FFFFFF"/>
              </w:rPr>
              <w:t>To provide a range of retail, business, entertainment and community uses which serve the needs of people who live in, work in and visit the local area.</w:t>
            </w:r>
          </w:p>
          <w:p w14:paraId="685632D7" w14:textId="77777777" w:rsidR="00722268" w:rsidRPr="00E85F2E" w:rsidRDefault="00722268" w:rsidP="004C1242">
            <w:pPr>
              <w:jc w:val="both"/>
              <w:rPr>
                <w:rFonts w:ascii="Arial" w:hAnsi="Arial" w:cs="Arial"/>
                <w:i/>
                <w:iCs/>
                <w:color w:val="000000" w:themeColor="text1"/>
              </w:rPr>
            </w:pPr>
          </w:p>
        </w:tc>
        <w:tc>
          <w:tcPr>
            <w:tcW w:w="4110" w:type="dxa"/>
            <w:tcBorders>
              <w:top w:val="single" w:sz="4" w:space="0" w:color="FFFFFF" w:themeColor="background1"/>
              <w:bottom w:val="single" w:sz="4" w:space="0" w:color="FFFFFF" w:themeColor="background1"/>
            </w:tcBorders>
          </w:tcPr>
          <w:p w14:paraId="4DE94BD4" w14:textId="77777777" w:rsidR="00722268" w:rsidRDefault="00722268" w:rsidP="004C1242">
            <w:pPr>
              <w:jc w:val="both"/>
              <w:rPr>
                <w:rFonts w:ascii="Arial" w:hAnsi="Arial" w:cs="Arial"/>
                <w:szCs w:val="18"/>
              </w:rPr>
            </w:pPr>
            <w:r>
              <w:rPr>
                <w:rFonts w:ascii="Arial" w:hAnsi="Arial" w:cs="Arial"/>
                <w:szCs w:val="18"/>
              </w:rPr>
              <w:t xml:space="preserve">Whilst the development is not for commercial or business purposes, a number of jobs will be made available during the construction phase of the development. Further, the development is located in proximity to a number of other commercial and business sites, providing the opportunity for residents to live closer to work.  </w:t>
            </w:r>
          </w:p>
          <w:p w14:paraId="0A0EE92C" w14:textId="77777777" w:rsidR="00722268" w:rsidRPr="00452571" w:rsidRDefault="00722268" w:rsidP="004C1242">
            <w:pPr>
              <w:jc w:val="both"/>
              <w:rPr>
                <w:rFonts w:ascii="Arial" w:hAnsi="Arial" w:cs="Arial"/>
                <w:szCs w:val="18"/>
              </w:rPr>
            </w:pPr>
          </w:p>
        </w:tc>
        <w:tc>
          <w:tcPr>
            <w:tcW w:w="1560" w:type="dxa"/>
            <w:tcBorders>
              <w:top w:val="single" w:sz="4" w:space="0" w:color="FFFFFF" w:themeColor="background1"/>
              <w:bottom w:val="single" w:sz="4" w:space="0" w:color="FFFFFF"/>
            </w:tcBorders>
          </w:tcPr>
          <w:p w14:paraId="7913F8B3" w14:textId="77777777" w:rsidR="00722268" w:rsidRDefault="00722268" w:rsidP="004C1242">
            <w:pPr>
              <w:spacing w:before="60" w:after="60"/>
              <w:jc w:val="center"/>
              <w:rPr>
                <w:rFonts w:ascii="Arial" w:hAnsi="Arial" w:cs="Arial"/>
                <w:szCs w:val="22"/>
              </w:rPr>
            </w:pPr>
            <w:r>
              <w:rPr>
                <w:rFonts w:ascii="Arial" w:hAnsi="Arial" w:cs="Arial"/>
                <w:szCs w:val="22"/>
              </w:rPr>
              <w:t>Yes</w:t>
            </w:r>
          </w:p>
          <w:p w14:paraId="0E38E251" w14:textId="77777777" w:rsidR="00722268" w:rsidRDefault="00722268" w:rsidP="004C1242">
            <w:pPr>
              <w:spacing w:before="60" w:after="60"/>
              <w:jc w:val="both"/>
              <w:rPr>
                <w:rFonts w:ascii="Arial" w:hAnsi="Arial" w:cs="Arial"/>
                <w:szCs w:val="22"/>
              </w:rPr>
            </w:pPr>
          </w:p>
          <w:p w14:paraId="374EF77F" w14:textId="77777777" w:rsidR="00722268" w:rsidRDefault="00722268" w:rsidP="004C1242">
            <w:pPr>
              <w:spacing w:before="60" w:after="60"/>
              <w:jc w:val="both"/>
              <w:rPr>
                <w:rFonts w:ascii="Arial" w:hAnsi="Arial" w:cs="Arial"/>
                <w:szCs w:val="22"/>
              </w:rPr>
            </w:pPr>
          </w:p>
        </w:tc>
      </w:tr>
      <w:tr w:rsidR="00722268" w14:paraId="44B59C99" w14:textId="77777777" w:rsidTr="0063592B">
        <w:tc>
          <w:tcPr>
            <w:tcW w:w="3256" w:type="dxa"/>
            <w:tcBorders>
              <w:top w:val="single" w:sz="4" w:space="0" w:color="FFFFFF"/>
              <w:bottom w:val="single" w:sz="4" w:space="0" w:color="FFFFFF" w:themeColor="background1"/>
            </w:tcBorders>
          </w:tcPr>
          <w:p w14:paraId="3237A3A0" w14:textId="77777777" w:rsidR="00722268" w:rsidRPr="00A56FDB" w:rsidRDefault="00722268" w:rsidP="004C1242">
            <w:pPr>
              <w:pStyle w:val="ListParagraph"/>
              <w:numPr>
                <w:ilvl w:val="0"/>
                <w:numId w:val="2"/>
              </w:numPr>
              <w:ind w:left="316" w:hanging="284"/>
              <w:jc w:val="both"/>
              <w:rPr>
                <w:rFonts w:ascii="Arial" w:hAnsi="Arial" w:cs="Arial"/>
                <w:i/>
                <w:iCs/>
                <w:color w:val="000000" w:themeColor="text1"/>
              </w:rPr>
            </w:pPr>
            <w:r w:rsidRPr="00A56FDB">
              <w:rPr>
                <w:rFonts w:ascii="Arial" w:hAnsi="Arial" w:cs="Arial"/>
                <w:i/>
                <w:iCs/>
                <w:color w:val="000000" w:themeColor="text1"/>
                <w:shd w:val="clear" w:color="auto" w:fill="FFFFFF"/>
              </w:rPr>
              <w:t>To encourage employment opportunities in accessible locations.</w:t>
            </w:r>
          </w:p>
        </w:tc>
        <w:tc>
          <w:tcPr>
            <w:tcW w:w="4110" w:type="dxa"/>
            <w:tcBorders>
              <w:top w:val="single" w:sz="4" w:space="0" w:color="FFFFFF" w:themeColor="background1"/>
              <w:bottom w:val="single" w:sz="4" w:space="0" w:color="FFFFFF" w:themeColor="background1"/>
            </w:tcBorders>
          </w:tcPr>
          <w:p w14:paraId="1B8CFA08" w14:textId="77777777" w:rsidR="00722268" w:rsidRPr="00452571" w:rsidRDefault="00722268" w:rsidP="004C1242">
            <w:pPr>
              <w:jc w:val="both"/>
              <w:rPr>
                <w:rFonts w:ascii="Arial" w:hAnsi="Arial" w:cs="Arial"/>
                <w:szCs w:val="18"/>
              </w:rPr>
            </w:pPr>
            <w:r w:rsidRPr="00452571">
              <w:rPr>
                <w:rFonts w:ascii="Arial" w:hAnsi="Arial" w:cs="Arial"/>
                <w:szCs w:val="18"/>
              </w:rPr>
              <w:t>The development site is located in proximity to a range of commercial sites including Oran Park Podium, two commercial buildings (formally known as the TRN Building</w:t>
            </w:r>
            <w:r>
              <w:rPr>
                <w:rFonts w:ascii="Arial" w:hAnsi="Arial" w:cs="Arial"/>
                <w:szCs w:val="18"/>
              </w:rPr>
              <w:t>)</w:t>
            </w:r>
            <w:r w:rsidRPr="00452571">
              <w:rPr>
                <w:rFonts w:ascii="Arial" w:hAnsi="Arial" w:cs="Arial"/>
                <w:szCs w:val="18"/>
              </w:rPr>
              <w:t xml:space="preserve">, Camden Council Administration Building, Oran Park Leisure Centre and various educational establishments. These commercial sites are located in walking distance from the proposed development, making it easily accessible for future residents. As such, the proposed development will </w:t>
            </w:r>
            <w:r>
              <w:rPr>
                <w:rFonts w:ascii="Arial" w:hAnsi="Arial" w:cs="Arial"/>
                <w:szCs w:val="18"/>
              </w:rPr>
              <w:t>provide</w:t>
            </w:r>
            <w:r w:rsidRPr="00452571">
              <w:rPr>
                <w:rFonts w:ascii="Arial" w:hAnsi="Arial" w:cs="Arial"/>
                <w:szCs w:val="18"/>
              </w:rPr>
              <w:t xml:space="preserve"> residential accommodation in proximity to a number of employment types and opportunities.</w:t>
            </w:r>
          </w:p>
          <w:p w14:paraId="0A60D4A2" w14:textId="77777777" w:rsidR="00722268" w:rsidRPr="00452571" w:rsidRDefault="00722268" w:rsidP="004C1242">
            <w:pPr>
              <w:jc w:val="both"/>
              <w:rPr>
                <w:rFonts w:ascii="Arial" w:hAnsi="Arial" w:cs="Arial"/>
                <w:szCs w:val="18"/>
              </w:rPr>
            </w:pPr>
            <w:r w:rsidRPr="00452571">
              <w:rPr>
                <w:rFonts w:ascii="Arial" w:hAnsi="Arial" w:cs="Arial"/>
                <w:szCs w:val="18"/>
              </w:rPr>
              <w:t xml:space="preserve"> </w:t>
            </w:r>
          </w:p>
        </w:tc>
        <w:tc>
          <w:tcPr>
            <w:tcW w:w="1560" w:type="dxa"/>
            <w:tcBorders>
              <w:top w:val="single" w:sz="4" w:space="0" w:color="FFFFFF"/>
              <w:bottom w:val="single" w:sz="4" w:space="0" w:color="FFFFFF" w:themeColor="background1"/>
            </w:tcBorders>
          </w:tcPr>
          <w:p w14:paraId="3FCA0885" w14:textId="77777777" w:rsidR="00722268" w:rsidRDefault="00722268" w:rsidP="004C1242">
            <w:pPr>
              <w:spacing w:before="60" w:after="60"/>
              <w:jc w:val="center"/>
              <w:rPr>
                <w:rFonts w:ascii="Arial" w:hAnsi="Arial" w:cs="Arial"/>
                <w:szCs w:val="22"/>
              </w:rPr>
            </w:pPr>
            <w:r>
              <w:rPr>
                <w:rFonts w:ascii="Arial" w:hAnsi="Arial" w:cs="Arial"/>
                <w:szCs w:val="22"/>
              </w:rPr>
              <w:t>Yes</w:t>
            </w:r>
          </w:p>
        </w:tc>
      </w:tr>
      <w:tr w:rsidR="00722268" w14:paraId="79DB3374" w14:textId="77777777" w:rsidTr="0063592B">
        <w:tc>
          <w:tcPr>
            <w:tcW w:w="3256" w:type="dxa"/>
            <w:tcBorders>
              <w:top w:val="single" w:sz="4" w:space="0" w:color="FFFFFF" w:themeColor="background1"/>
              <w:bottom w:val="single" w:sz="4" w:space="0" w:color="FFFFFF" w:themeColor="background1"/>
            </w:tcBorders>
          </w:tcPr>
          <w:p w14:paraId="064581F6" w14:textId="77777777" w:rsidR="00722268" w:rsidRPr="00A56FDB" w:rsidRDefault="00722268" w:rsidP="004C1242">
            <w:pPr>
              <w:pStyle w:val="ListParagraph"/>
              <w:numPr>
                <w:ilvl w:val="0"/>
                <w:numId w:val="2"/>
              </w:numPr>
              <w:ind w:left="316" w:hanging="284"/>
              <w:jc w:val="both"/>
              <w:rPr>
                <w:rFonts w:ascii="Arial" w:hAnsi="Arial" w:cs="Arial"/>
                <w:i/>
                <w:iCs/>
                <w:color w:val="000000" w:themeColor="text1"/>
              </w:rPr>
            </w:pPr>
            <w:r w:rsidRPr="00A56FDB">
              <w:rPr>
                <w:rFonts w:ascii="Arial" w:hAnsi="Arial" w:cs="Arial"/>
                <w:i/>
                <w:iCs/>
                <w:color w:val="000000" w:themeColor="text1"/>
                <w:shd w:val="clear" w:color="auto" w:fill="FFFFFF"/>
              </w:rPr>
              <w:t>To maximise public transport patronage and encourage walking and cycling.</w:t>
            </w:r>
          </w:p>
        </w:tc>
        <w:tc>
          <w:tcPr>
            <w:tcW w:w="4110" w:type="dxa"/>
            <w:tcBorders>
              <w:top w:val="single" w:sz="4" w:space="0" w:color="FFFFFF" w:themeColor="background1"/>
              <w:bottom w:val="single" w:sz="4" w:space="0" w:color="FFFFFF" w:themeColor="background1"/>
            </w:tcBorders>
          </w:tcPr>
          <w:p w14:paraId="3C1721CB" w14:textId="31D0F159" w:rsidR="00722268" w:rsidRDefault="00722268" w:rsidP="00F112F9">
            <w:pPr>
              <w:jc w:val="both"/>
              <w:rPr>
                <w:rFonts w:ascii="Arial" w:hAnsi="Arial" w:cs="Arial"/>
                <w:szCs w:val="18"/>
              </w:rPr>
            </w:pPr>
            <w:r w:rsidRPr="00452571">
              <w:rPr>
                <w:rFonts w:ascii="Arial" w:hAnsi="Arial" w:cs="Arial"/>
                <w:szCs w:val="18"/>
              </w:rPr>
              <w:t xml:space="preserve">As noted, the subject development is located in the vicinity of various employment opportunities that are </w:t>
            </w:r>
            <w:r>
              <w:rPr>
                <w:rFonts w:ascii="Arial" w:hAnsi="Arial" w:cs="Arial"/>
                <w:szCs w:val="18"/>
              </w:rPr>
              <w:t>easily accessible via foot</w:t>
            </w:r>
            <w:r w:rsidR="00F112F9">
              <w:rPr>
                <w:rFonts w:ascii="Arial" w:hAnsi="Arial" w:cs="Arial"/>
                <w:szCs w:val="18"/>
              </w:rPr>
              <w:t xml:space="preserve"> and/or </w:t>
            </w:r>
            <w:r>
              <w:rPr>
                <w:rFonts w:ascii="Arial" w:hAnsi="Arial" w:cs="Arial"/>
                <w:szCs w:val="18"/>
              </w:rPr>
              <w:t>public bus services</w:t>
            </w:r>
            <w:r w:rsidRPr="00452571">
              <w:rPr>
                <w:rFonts w:ascii="Arial" w:hAnsi="Arial" w:cs="Arial"/>
                <w:szCs w:val="18"/>
              </w:rPr>
              <w:t xml:space="preserve">. Further, the development will provide 66 bicycle storage areas and a number of pedestrian access points on all elevations. </w:t>
            </w:r>
            <w:r w:rsidR="00E12F92">
              <w:rPr>
                <w:rFonts w:ascii="Arial" w:hAnsi="Arial" w:cs="Arial"/>
                <w:szCs w:val="18"/>
              </w:rPr>
              <w:t>A</w:t>
            </w:r>
            <w:r w:rsidRPr="00452571">
              <w:rPr>
                <w:rFonts w:ascii="Arial" w:hAnsi="Arial" w:cs="Arial"/>
                <w:szCs w:val="18"/>
              </w:rPr>
              <w:t xml:space="preserve"> pedestrian link is proposed within the centre of the development site, which provides a direct east west connection for pedestrians. This is likely to encourage pedestrian activity within and around the site. </w:t>
            </w:r>
          </w:p>
          <w:p w14:paraId="53832775" w14:textId="2E828002" w:rsidR="00F112F9" w:rsidRPr="00452571" w:rsidRDefault="00F112F9" w:rsidP="00F112F9">
            <w:pPr>
              <w:jc w:val="both"/>
              <w:rPr>
                <w:rFonts w:ascii="Arial" w:hAnsi="Arial" w:cs="Arial"/>
                <w:szCs w:val="18"/>
              </w:rPr>
            </w:pPr>
          </w:p>
        </w:tc>
        <w:tc>
          <w:tcPr>
            <w:tcW w:w="1560" w:type="dxa"/>
            <w:tcBorders>
              <w:top w:val="single" w:sz="4" w:space="0" w:color="FFFFFF" w:themeColor="background1"/>
              <w:bottom w:val="single" w:sz="4" w:space="0" w:color="FFFFFF" w:themeColor="background1"/>
            </w:tcBorders>
          </w:tcPr>
          <w:p w14:paraId="698DA40B" w14:textId="77777777" w:rsidR="00722268" w:rsidRDefault="00722268" w:rsidP="004C1242">
            <w:pPr>
              <w:spacing w:before="60" w:after="60"/>
              <w:jc w:val="center"/>
              <w:rPr>
                <w:rFonts w:ascii="Arial" w:hAnsi="Arial" w:cs="Arial"/>
                <w:szCs w:val="22"/>
              </w:rPr>
            </w:pPr>
            <w:r>
              <w:rPr>
                <w:rFonts w:ascii="Arial" w:hAnsi="Arial" w:cs="Arial"/>
                <w:szCs w:val="22"/>
              </w:rPr>
              <w:t>Yes</w:t>
            </w:r>
          </w:p>
        </w:tc>
      </w:tr>
      <w:tr w:rsidR="00722268" w14:paraId="502B119F" w14:textId="77777777" w:rsidTr="0063592B">
        <w:tc>
          <w:tcPr>
            <w:tcW w:w="3256" w:type="dxa"/>
            <w:tcBorders>
              <w:top w:val="single" w:sz="4" w:space="0" w:color="FFFFFF" w:themeColor="background1"/>
              <w:bottom w:val="single" w:sz="4" w:space="0" w:color="FFFFFF" w:themeColor="background1"/>
            </w:tcBorders>
          </w:tcPr>
          <w:p w14:paraId="6951D3D6" w14:textId="77777777" w:rsidR="00722268" w:rsidRPr="00BB21A9" w:rsidRDefault="00722268" w:rsidP="004C1242">
            <w:pPr>
              <w:pStyle w:val="ListParagraph"/>
              <w:numPr>
                <w:ilvl w:val="0"/>
                <w:numId w:val="2"/>
              </w:numPr>
              <w:ind w:left="316" w:hanging="284"/>
              <w:jc w:val="both"/>
              <w:rPr>
                <w:rFonts w:ascii="Arial" w:hAnsi="Arial" w:cs="Arial"/>
                <w:i/>
                <w:iCs/>
                <w:color w:val="000000" w:themeColor="text1"/>
              </w:rPr>
            </w:pPr>
            <w:r w:rsidRPr="00A56FDB">
              <w:rPr>
                <w:rFonts w:ascii="Arial" w:hAnsi="Arial" w:cs="Arial"/>
                <w:i/>
                <w:iCs/>
                <w:color w:val="000000" w:themeColor="text1"/>
                <w:shd w:val="clear" w:color="auto" w:fill="FFFFFF"/>
              </w:rPr>
              <w:t xml:space="preserve">To ensure that residential development does not detract </w:t>
            </w:r>
            <w:r w:rsidRPr="00A56FDB">
              <w:rPr>
                <w:rFonts w:ascii="Arial" w:hAnsi="Arial" w:cs="Arial"/>
                <w:i/>
                <w:iCs/>
                <w:color w:val="000000" w:themeColor="text1"/>
                <w:shd w:val="clear" w:color="auto" w:fill="FFFFFF"/>
              </w:rPr>
              <w:lastRenderedPageBreak/>
              <w:t>from the primary function of the centre being to provide for retail, business, entertainment and community uses.</w:t>
            </w:r>
          </w:p>
          <w:p w14:paraId="0338ABC3" w14:textId="77777777" w:rsidR="00722268" w:rsidRPr="00A56FDB" w:rsidRDefault="00722268" w:rsidP="004C1242">
            <w:pPr>
              <w:pStyle w:val="ListParagraph"/>
              <w:ind w:left="316"/>
              <w:jc w:val="both"/>
              <w:rPr>
                <w:rFonts w:ascii="Arial" w:hAnsi="Arial" w:cs="Arial"/>
                <w:i/>
                <w:iCs/>
                <w:color w:val="000000" w:themeColor="text1"/>
              </w:rPr>
            </w:pPr>
          </w:p>
        </w:tc>
        <w:tc>
          <w:tcPr>
            <w:tcW w:w="4110" w:type="dxa"/>
            <w:tcBorders>
              <w:top w:val="single" w:sz="4" w:space="0" w:color="FFFFFF" w:themeColor="background1"/>
              <w:bottom w:val="single" w:sz="4" w:space="0" w:color="FFFFFF" w:themeColor="background1"/>
            </w:tcBorders>
          </w:tcPr>
          <w:p w14:paraId="30220459" w14:textId="6F1E44A0" w:rsidR="00722268" w:rsidRDefault="00722268" w:rsidP="004C1242">
            <w:pPr>
              <w:jc w:val="both"/>
              <w:rPr>
                <w:rFonts w:ascii="Arial" w:hAnsi="Arial" w:cs="Arial"/>
                <w:szCs w:val="18"/>
              </w:rPr>
            </w:pPr>
            <w:r w:rsidRPr="00452571">
              <w:rPr>
                <w:rFonts w:ascii="Arial" w:hAnsi="Arial" w:cs="Arial"/>
                <w:szCs w:val="18"/>
              </w:rPr>
              <w:lastRenderedPageBreak/>
              <w:t xml:space="preserve">As demonstrated in the assessment of this DA, the proposal has been designed in a </w:t>
            </w:r>
            <w:r w:rsidRPr="00452571">
              <w:rPr>
                <w:rFonts w:ascii="Arial" w:hAnsi="Arial" w:cs="Arial"/>
                <w:szCs w:val="18"/>
              </w:rPr>
              <w:lastRenderedPageBreak/>
              <w:t>way, where there will be minimal adverse environmental impacts to the site and surrounding land uses. In particular</w:t>
            </w:r>
            <w:r>
              <w:rPr>
                <w:rFonts w:ascii="Arial" w:hAnsi="Arial" w:cs="Arial"/>
                <w:szCs w:val="18"/>
              </w:rPr>
              <w:t>, the proposal provides strong pedestrian access through and around the development site that directly aligns with the pedestrian movement network (as indicated in Figure 60 of the Oran Park DCP)</w:t>
            </w:r>
            <w:r w:rsidR="00E12F92">
              <w:rPr>
                <w:rFonts w:ascii="Arial" w:hAnsi="Arial" w:cs="Arial"/>
                <w:szCs w:val="18"/>
              </w:rPr>
              <w:t>.</w:t>
            </w:r>
            <w:r>
              <w:rPr>
                <w:rFonts w:ascii="Arial" w:hAnsi="Arial" w:cs="Arial"/>
                <w:szCs w:val="18"/>
              </w:rPr>
              <w:t xml:space="preserve"> </w:t>
            </w:r>
            <w:r w:rsidR="00E12F92">
              <w:rPr>
                <w:rFonts w:ascii="Arial" w:hAnsi="Arial" w:cs="Arial"/>
                <w:szCs w:val="18"/>
              </w:rPr>
              <w:t>It</w:t>
            </w:r>
            <w:r>
              <w:rPr>
                <w:rFonts w:ascii="Arial" w:hAnsi="Arial" w:cs="Arial"/>
                <w:szCs w:val="18"/>
              </w:rPr>
              <w:t xml:space="preserve"> has been designed where the solar amenity impacts to surrounding public infrastructure including pedestrian pathways will be kept to a minimal. Consequently, the development is unlikely to detract from the overall function of the Town Centre.   </w:t>
            </w:r>
          </w:p>
          <w:p w14:paraId="240DA021" w14:textId="77777777" w:rsidR="00722268" w:rsidRPr="00452571" w:rsidRDefault="00722268" w:rsidP="004C1242">
            <w:pPr>
              <w:jc w:val="both"/>
              <w:rPr>
                <w:rFonts w:ascii="Arial" w:hAnsi="Arial" w:cs="Arial"/>
                <w:szCs w:val="18"/>
              </w:rPr>
            </w:pPr>
          </w:p>
        </w:tc>
        <w:tc>
          <w:tcPr>
            <w:tcW w:w="1560" w:type="dxa"/>
            <w:tcBorders>
              <w:top w:val="single" w:sz="4" w:space="0" w:color="FFFFFF" w:themeColor="background1"/>
              <w:bottom w:val="single" w:sz="4" w:space="0" w:color="FFFFFF" w:themeColor="background1"/>
            </w:tcBorders>
          </w:tcPr>
          <w:p w14:paraId="39C4DBA5" w14:textId="77777777" w:rsidR="00722268" w:rsidRDefault="00722268" w:rsidP="004C1242">
            <w:pPr>
              <w:spacing w:before="60" w:after="60"/>
              <w:jc w:val="center"/>
              <w:rPr>
                <w:rFonts w:ascii="Arial" w:hAnsi="Arial" w:cs="Arial"/>
                <w:szCs w:val="22"/>
              </w:rPr>
            </w:pPr>
            <w:r>
              <w:rPr>
                <w:rFonts w:ascii="Arial" w:hAnsi="Arial" w:cs="Arial"/>
                <w:szCs w:val="22"/>
              </w:rPr>
              <w:lastRenderedPageBreak/>
              <w:t>Yes</w:t>
            </w:r>
          </w:p>
        </w:tc>
      </w:tr>
      <w:tr w:rsidR="00722268" w14:paraId="64A40A7B" w14:textId="77777777" w:rsidTr="0063592B">
        <w:trPr>
          <w:trHeight w:val="971"/>
        </w:trPr>
        <w:tc>
          <w:tcPr>
            <w:tcW w:w="3256" w:type="dxa"/>
            <w:tcBorders>
              <w:top w:val="single" w:sz="4" w:space="0" w:color="FFFFFF" w:themeColor="background1"/>
              <w:bottom w:val="single" w:sz="4" w:space="0" w:color="FFFFFF" w:themeColor="background1"/>
            </w:tcBorders>
          </w:tcPr>
          <w:p w14:paraId="1F4FE1F2" w14:textId="77777777" w:rsidR="00722268" w:rsidRDefault="00722268" w:rsidP="004C1242">
            <w:pPr>
              <w:pStyle w:val="ListParagraph"/>
              <w:numPr>
                <w:ilvl w:val="0"/>
                <w:numId w:val="2"/>
              </w:numPr>
              <w:ind w:left="316" w:hanging="284"/>
              <w:jc w:val="both"/>
              <w:rPr>
                <w:rFonts w:ascii="Arial" w:hAnsi="Arial" w:cs="Arial"/>
                <w:i/>
                <w:iCs/>
                <w:color w:val="000000" w:themeColor="text1"/>
                <w:shd w:val="clear" w:color="auto" w:fill="FFFFFF"/>
              </w:rPr>
            </w:pPr>
            <w:r w:rsidRPr="00A56FDB">
              <w:rPr>
                <w:rFonts w:ascii="Arial" w:hAnsi="Arial" w:cs="Arial"/>
                <w:i/>
                <w:iCs/>
                <w:color w:val="000000" w:themeColor="text1"/>
                <w:shd w:val="clear" w:color="auto" w:fill="FFFFFF"/>
              </w:rPr>
              <w:t>To ensure that residential development does not preclude the provision of active uses at street level.</w:t>
            </w:r>
          </w:p>
          <w:p w14:paraId="569BCAF1" w14:textId="77777777" w:rsidR="00722268" w:rsidRPr="00A56FDB" w:rsidRDefault="00722268" w:rsidP="004C1242">
            <w:pPr>
              <w:pStyle w:val="ListParagraph"/>
              <w:ind w:left="316"/>
              <w:jc w:val="both"/>
              <w:rPr>
                <w:rFonts w:ascii="Arial" w:hAnsi="Arial" w:cs="Arial"/>
                <w:i/>
                <w:iCs/>
                <w:color w:val="000000" w:themeColor="text1"/>
                <w:shd w:val="clear" w:color="auto" w:fill="FFFFFF"/>
              </w:rPr>
            </w:pPr>
          </w:p>
        </w:tc>
        <w:tc>
          <w:tcPr>
            <w:tcW w:w="4110" w:type="dxa"/>
            <w:tcBorders>
              <w:top w:val="single" w:sz="4" w:space="0" w:color="FFFFFF" w:themeColor="background1"/>
              <w:bottom w:val="single" w:sz="4" w:space="0" w:color="FFFFFF" w:themeColor="background1"/>
            </w:tcBorders>
          </w:tcPr>
          <w:p w14:paraId="31C56B13" w14:textId="0ADF7606" w:rsidR="00722268" w:rsidRDefault="00722268" w:rsidP="004C1242">
            <w:pPr>
              <w:jc w:val="both"/>
              <w:rPr>
                <w:rFonts w:ascii="Arial" w:hAnsi="Arial" w:cs="Arial"/>
                <w:szCs w:val="18"/>
              </w:rPr>
            </w:pPr>
            <w:r>
              <w:rPr>
                <w:rFonts w:ascii="Arial" w:hAnsi="Arial" w:cs="Arial"/>
                <w:szCs w:val="18"/>
              </w:rPr>
              <w:t>Whilst no active uses at the street level is proposed, a</w:t>
            </w:r>
            <w:r w:rsidRPr="00452571">
              <w:rPr>
                <w:rFonts w:ascii="Arial" w:hAnsi="Arial" w:cs="Arial"/>
                <w:szCs w:val="18"/>
              </w:rPr>
              <w:t xml:space="preserve"> minimum of one pedestrian entrance is </w:t>
            </w:r>
            <w:r>
              <w:rPr>
                <w:rFonts w:ascii="Arial" w:hAnsi="Arial" w:cs="Arial"/>
                <w:szCs w:val="18"/>
              </w:rPr>
              <w:t>provided</w:t>
            </w:r>
            <w:r w:rsidRPr="00452571">
              <w:rPr>
                <w:rFonts w:ascii="Arial" w:hAnsi="Arial" w:cs="Arial"/>
                <w:szCs w:val="18"/>
              </w:rPr>
              <w:t xml:space="preserve"> on all elevations</w:t>
            </w:r>
            <w:r>
              <w:rPr>
                <w:rFonts w:ascii="Arial" w:hAnsi="Arial" w:cs="Arial"/>
                <w:szCs w:val="18"/>
              </w:rPr>
              <w:t xml:space="preserve"> for residents</w:t>
            </w:r>
            <w:r w:rsidRPr="00452571">
              <w:rPr>
                <w:rFonts w:ascii="Arial" w:hAnsi="Arial" w:cs="Arial"/>
                <w:szCs w:val="18"/>
              </w:rPr>
              <w:t xml:space="preserve">, to encourage pedestrian activity </w:t>
            </w:r>
            <w:r>
              <w:rPr>
                <w:rFonts w:ascii="Arial" w:hAnsi="Arial" w:cs="Arial"/>
                <w:szCs w:val="18"/>
              </w:rPr>
              <w:t>around the development site</w:t>
            </w:r>
            <w:r w:rsidR="00F112F9">
              <w:rPr>
                <w:rFonts w:ascii="Arial" w:hAnsi="Arial" w:cs="Arial"/>
                <w:szCs w:val="18"/>
              </w:rPr>
              <w:t xml:space="preserve"> and create</w:t>
            </w:r>
            <w:r w:rsidRPr="00452571">
              <w:rPr>
                <w:rFonts w:ascii="Arial" w:hAnsi="Arial" w:cs="Arial"/>
                <w:szCs w:val="18"/>
              </w:rPr>
              <w:t xml:space="preserve"> an active frontage on all elevations. In addition to this, open style fencing is sought around the boundaries of the ground floor units, which is likely to encourage pedestrian activity within and around the site. </w:t>
            </w:r>
            <w:r>
              <w:rPr>
                <w:rFonts w:ascii="Arial" w:hAnsi="Arial" w:cs="Arial"/>
                <w:szCs w:val="18"/>
              </w:rPr>
              <w:t>Further</w:t>
            </w:r>
            <w:r w:rsidRPr="00452571">
              <w:rPr>
                <w:rFonts w:ascii="Arial" w:hAnsi="Arial" w:cs="Arial"/>
                <w:szCs w:val="18"/>
              </w:rPr>
              <w:t>, an east west pedestrian link is proposed through the development site,</w:t>
            </w:r>
            <w:r>
              <w:rPr>
                <w:rFonts w:ascii="Arial" w:hAnsi="Arial" w:cs="Arial"/>
                <w:szCs w:val="18"/>
              </w:rPr>
              <w:t xml:space="preserve"> to enhance the overall permeability</w:t>
            </w:r>
            <w:r w:rsidRPr="00452571">
              <w:rPr>
                <w:rFonts w:ascii="Arial" w:hAnsi="Arial" w:cs="Arial"/>
                <w:szCs w:val="18"/>
              </w:rPr>
              <w:t>.</w:t>
            </w:r>
            <w:r w:rsidR="00E12F92">
              <w:rPr>
                <w:rFonts w:ascii="Arial" w:hAnsi="Arial" w:cs="Arial"/>
                <w:szCs w:val="18"/>
              </w:rPr>
              <w:t xml:space="preserve"> </w:t>
            </w:r>
            <w:r w:rsidRPr="00452571">
              <w:rPr>
                <w:rFonts w:ascii="Arial" w:hAnsi="Arial" w:cs="Arial"/>
                <w:szCs w:val="18"/>
              </w:rPr>
              <w:t xml:space="preserve">As such, the development will not compromise the provision of active uses on the ground floor. </w:t>
            </w:r>
          </w:p>
          <w:p w14:paraId="7DA9847A" w14:textId="77777777" w:rsidR="00722268" w:rsidRPr="00452571" w:rsidRDefault="00722268" w:rsidP="004C1242">
            <w:pPr>
              <w:jc w:val="both"/>
              <w:rPr>
                <w:rFonts w:ascii="Arial" w:hAnsi="Arial" w:cs="Arial"/>
                <w:szCs w:val="18"/>
              </w:rPr>
            </w:pPr>
          </w:p>
        </w:tc>
        <w:tc>
          <w:tcPr>
            <w:tcW w:w="1560" w:type="dxa"/>
            <w:tcBorders>
              <w:top w:val="single" w:sz="4" w:space="0" w:color="FFFFFF" w:themeColor="background1"/>
              <w:bottom w:val="single" w:sz="4" w:space="0" w:color="FFFFFF" w:themeColor="background1"/>
            </w:tcBorders>
          </w:tcPr>
          <w:p w14:paraId="6B4C2E95" w14:textId="77777777" w:rsidR="00722268" w:rsidRDefault="00722268" w:rsidP="004C1242">
            <w:pPr>
              <w:spacing w:before="60" w:after="60"/>
              <w:jc w:val="center"/>
              <w:rPr>
                <w:rFonts w:ascii="Arial" w:hAnsi="Arial" w:cs="Arial"/>
                <w:szCs w:val="22"/>
              </w:rPr>
            </w:pPr>
            <w:r>
              <w:rPr>
                <w:rFonts w:ascii="Arial" w:hAnsi="Arial" w:cs="Arial"/>
                <w:szCs w:val="22"/>
              </w:rPr>
              <w:t>Yes</w:t>
            </w:r>
          </w:p>
        </w:tc>
      </w:tr>
      <w:tr w:rsidR="00722268" w14:paraId="33034EE1" w14:textId="77777777" w:rsidTr="0063592B">
        <w:tc>
          <w:tcPr>
            <w:tcW w:w="3256" w:type="dxa"/>
            <w:tcBorders>
              <w:top w:val="single" w:sz="4" w:space="0" w:color="FFFFFF" w:themeColor="background1"/>
              <w:bottom w:val="single" w:sz="4" w:space="0" w:color="FFFFFF" w:themeColor="background1"/>
            </w:tcBorders>
          </w:tcPr>
          <w:p w14:paraId="0432F05F" w14:textId="77777777" w:rsidR="00722268" w:rsidRDefault="00722268" w:rsidP="004C1242">
            <w:pPr>
              <w:pStyle w:val="ListParagraph"/>
              <w:numPr>
                <w:ilvl w:val="0"/>
                <w:numId w:val="2"/>
              </w:numPr>
              <w:ind w:left="316" w:hanging="284"/>
              <w:jc w:val="both"/>
              <w:rPr>
                <w:rFonts w:ascii="Arial" w:hAnsi="Arial" w:cs="Arial"/>
                <w:i/>
                <w:iCs/>
                <w:color w:val="000000" w:themeColor="text1"/>
                <w:shd w:val="clear" w:color="auto" w:fill="FFFFFF"/>
              </w:rPr>
            </w:pPr>
            <w:r w:rsidRPr="00A56FDB">
              <w:rPr>
                <w:rFonts w:ascii="Arial" w:hAnsi="Arial" w:cs="Arial"/>
                <w:i/>
                <w:iCs/>
                <w:color w:val="000000" w:themeColor="text1"/>
                <w:shd w:val="clear" w:color="auto" w:fill="FFFFFF"/>
              </w:rPr>
              <w:t>To provide for land uses of a higher order and density within the Local Centre Zone tha</w:t>
            </w:r>
            <w:r>
              <w:rPr>
                <w:rFonts w:ascii="Arial" w:hAnsi="Arial" w:cs="Arial"/>
                <w:i/>
                <w:iCs/>
                <w:color w:val="000000" w:themeColor="text1"/>
                <w:shd w:val="clear" w:color="auto" w:fill="FFFFFF"/>
              </w:rPr>
              <w:t>t</w:t>
            </w:r>
            <w:r w:rsidRPr="00A56FDB">
              <w:rPr>
                <w:rFonts w:ascii="Arial" w:hAnsi="Arial" w:cs="Arial"/>
                <w:i/>
                <w:iCs/>
                <w:color w:val="000000" w:themeColor="text1"/>
                <w:shd w:val="clear" w:color="auto" w:fill="FFFFFF"/>
              </w:rPr>
              <w:t xml:space="preserve"> are permitted within the Neighbourhood Centre Zone or the Mixed-Use Zone.</w:t>
            </w:r>
          </w:p>
          <w:p w14:paraId="313C1E44" w14:textId="77777777" w:rsidR="00722268" w:rsidRPr="00A56FDB" w:rsidRDefault="00722268" w:rsidP="004C1242">
            <w:pPr>
              <w:pStyle w:val="ListParagraph"/>
              <w:ind w:left="316"/>
              <w:jc w:val="both"/>
              <w:rPr>
                <w:rFonts w:ascii="Arial" w:hAnsi="Arial" w:cs="Arial"/>
                <w:i/>
                <w:iCs/>
                <w:color w:val="000000" w:themeColor="text1"/>
                <w:shd w:val="clear" w:color="auto" w:fill="FFFFFF"/>
              </w:rPr>
            </w:pPr>
          </w:p>
        </w:tc>
        <w:tc>
          <w:tcPr>
            <w:tcW w:w="4110" w:type="dxa"/>
            <w:tcBorders>
              <w:top w:val="single" w:sz="4" w:space="0" w:color="FFFFFF" w:themeColor="background1"/>
              <w:bottom w:val="single" w:sz="4" w:space="0" w:color="FFFFFF" w:themeColor="background1"/>
            </w:tcBorders>
          </w:tcPr>
          <w:p w14:paraId="6A61E18E" w14:textId="30557C41" w:rsidR="00722268" w:rsidRPr="00452571" w:rsidRDefault="00722268" w:rsidP="004C1242">
            <w:pPr>
              <w:jc w:val="both"/>
              <w:rPr>
                <w:rFonts w:ascii="Arial" w:hAnsi="Arial" w:cs="Arial"/>
              </w:rPr>
            </w:pPr>
            <w:r w:rsidRPr="00452571">
              <w:rPr>
                <w:rFonts w:ascii="Arial" w:hAnsi="Arial" w:cs="Arial"/>
              </w:rPr>
              <w:t xml:space="preserve">The proposed development is classified as a higher density residential development which is permitted </w:t>
            </w:r>
            <w:r>
              <w:rPr>
                <w:rFonts w:ascii="Arial" w:hAnsi="Arial" w:cs="Arial"/>
              </w:rPr>
              <w:t xml:space="preserve">with consent </w:t>
            </w:r>
            <w:r w:rsidRPr="00452571">
              <w:rPr>
                <w:rFonts w:ascii="Arial" w:hAnsi="Arial" w:cs="Arial"/>
              </w:rPr>
              <w:t xml:space="preserve">in </w:t>
            </w:r>
            <w:r w:rsidR="00F112F9">
              <w:rPr>
                <w:rFonts w:ascii="Arial" w:hAnsi="Arial" w:cs="Arial"/>
              </w:rPr>
              <w:t xml:space="preserve">the </w:t>
            </w:r>
            <w:r w:rsidRPr="00452571">
              <w:rPr>
                <w:rFonts w:ascii="Arial" w:hAnsi="Arial" w:cs="Arial"/>
              </w:rPr>
              <w:t xml:space="preserve">mixed use zones. </w:t>
            </w:r>
          </w:p>
        </w:tc>
        <w:tc>
          <w:tcPr>
            <w:tcW w:w="1560" w:type="dxa"/>
            <w:tcBorders>
              <w:top w:val="single" w:sz="4" w:space="0" w:color="FFFFFF" w:themeColor="background1"/>
              <w:bottom w:val="single" w:sz="4" w:space="0" w:color="FFFFFF" w:themeColor="background1"/>
            </w:tcBorders>
          </w:tcPr>
          <w:p w14:paraId="4816F008" w14:textId="77777777" w:rsidR="00722268" w:rsidRDefault="00722268" w:rsidP="004C1242">
            <w:pPr>
              <w:spacing w:before="60" w:after="60"/>
              <w:jc w:val="center"/>
              <w:rPr>
                <w:rFonts w:ascii="Arial" w:hAnsi="Arial" w:cs="Arial"/>
                <w:szCs w:val="22"/>
              </w:rPr>
            </w:pPr>
            <w:r>
              <w:rPr>
                <w:rFonts w:ascii="Arial" w:hAnsi="Arial" w:cs="Arial"/>
                <w:szCs w:val="22"/>
              </w:rPr>
              <w:t>Yes</w:t>
            </w:r>
          </w:p>
        </w:tc>
      </w:tr>
      <w:tr w:rsidR="00722268" w14:paraId="3174B531" w14:textId="77777777" w:rsidTr="0063592B">
        <w:trPr>
          <w:trHeight w:val="790"/>
        </w:trPr>
        <w:tc>
          <w:tcPr>
            <w:tcW w:w="3256" w:type="dxa"/>
            <w:tcBorders>
              <w:top w:val="single" w:sz="4" w:space="0" w:color="FFFFFF" w:themeColor="background1"/>
              <w:bottom w:val="single" w:sz="4" w:space="0" w:color="FFFFFF"/>
            </w:tcBorders>
          </w:tcPr>
          <w:p w14:paraId="20F5DDC4" w14:textId="77777777" w:rsidR="00722268" w:rsidRPr="00A56FDB" w:rsidRDefault="00722268" w:rsidP="004C1242">
            <w:pPr>
              <w:pStyle w:val="ListParagraph"/>
              <w:numPr>
                <w:ilvl w:val="0"/>
                <w:numId w:val="2"/>
              </w:numPr>
              <w:ind w:left="316" w:hanging="284"/>
              <w:jc w:val="both"/>
              <w:rPr>
                <w:rFonts w:ascii="Arial" w:hAnsi="Arial" w:cs="Arial"/>
                <w:i/>
                <w:iCs/>
                <w:color w:val="000000" w:themeColor="text1"/>
                <w:shd w:val="clear" w:color="auto" w:fill="FFFFFF"/>
              </w:rPr>
            </w:pPr>
            <w:r w:rsidRPr="00A56FDB">
              <w:rPr>
                <w:rFonts w:ascii="Arial" w:hAnsi="Arial" w:cs="Arial"/>
                <w:i/>
                <w:iCs/>
                <w:color w:val="000000" w:themeColor="text1"/>
                <w:shd w:val="clear" w:color="auto" w:fill="FFFFFF"/>
              </w:rPr>
              <w:t>To provide for residential development that contributes to the vitality of the local centre.</w:t>
            </w:r>
          </w:p>
        </w:tc>
        <w:tc>
          <w:tcPr>
            <w:tcW w:w="4110" w:type="dxa"/>
            <w:tcBorders>
              <w:top w:val="single" w:sz="4" w:space="0" w:color="FFFFFF" w:themeColor="background1"/>
              <w:bottom w:val="single" w:sz="4" w:space="0" w:color="FFFFFF"/>
            </w:tcBorders>
          </w:tcPr>
          <w:p w14:paraId="13495B62" w14:textId="77777777" w:rsidR="00722268" w:rsidRDefault="00722268" w:rsidP="004C1242">
            <w:pPr>
              <w:jc w:val="both"/>
              <w:rPr>
                <w:rFonts w:ascii="Arial" w:hAnsi="Arial" w:cs="Arial"/>
              </w:rPr>
            </w:pPr>
            <w:r w:rsidRPr="00452571">
              <w:rPr>
                <w:rFonts w:ascii="Arial" w:hAnsi="Arial" w:cs="Arial"/>
              </w:rPr>
              <w:t>The proposed development will likely see high</w:t>
            </w:r>
            <w:r>
              <w:rPr>
                <w:rFonts w:ascii="Arial" w:hAnsi="Arial" w:cs="Arial"/>
              </w:rPr>
              <w:t>er levels of</w:t>
            </w:r>
            <w:r w:rsidRPr="00452571">
              <w:rPr>
                <w:rFonts w:ascii="Arial" w:hAnsi="Arial" w:cs="Arial"/>
              </w:rPr>
              <w:t xml:space="preserve"> pedestrian activity within and around the Town Centre which will contribute to the vitality of the Local Centre. </w:t>
            </w:r>
          </w:p>
          <w:p w14:paraId="00437467" w14:textId="77777777" w:rsidR="00722268" w:rsidRPr="00452571" w:rsidRDefault="00722268" w:rsidP="004C1242">
            <w:pPr>
              <w:jc w:val="both"/>
              <w:rPr>
                <w:rFonts w:ascii="Arial" w:hAnsi="Arial" w:cs="Arial"/>
              </w:rPr>
            </w:pPr>
          </w:p>
        </w:tc>
        <w:tc>
          <w:tcPr>
            <w:tcW w:w="1560" w:type="dxa"/>
            <w:tcBorders>
              <w:top w:val="single" w:sz="4" w:space="0" w:color="FFFFFF" w:themeColor="background1"/>
              <w:bottom w:val="single" w:sz="4" w:space="0" w:color="FFFFFF"/>
            </w:tcBorders>
          </w:tcPr>
          <w:p w14:paraId="36D556EE" w14:textId="77777777" w:rsidR="00722268" w:rsidRDefault="00722268" w:rsidP="004C1242">
            <w:pPr>
              <w:spacing w:before="60" w:after="60"/>
              <w:jc w:val="center"/>
              <w:rPr>
                <w:rFonts w:ascii="Arial" w:hAnsi="Arial" w:cs="Arial"/>
                <w:szCs w:val="22"/>
              </w:rPr>
            </w:pPr>
            <w:r>
              <w:rPr>
                <w:rFonts w:ascii="Arial" w:hAnsi="Arial" w:cs="Arial"/>
                <w:szCs w:val="22"/>
              </w:rPr>
              <w:t>Yes</w:t>
            </w:r>
          </w:p>
        </w:tc>
      </w:tr>
      <w:tr w:rsidR="00722268" w14:paraId="6F1F191C" w14:textId="77777777" w:rsidTr="0063592B">
        <w:trPr>
          <w:trHeight w:val="1268"/>
        </w:trPr>
        <w:tc>
          <w:tcPr>
            <w:tcW w:w="3256" w:type="dxa"/>
            <w:tcBorders>
              <w:top w:val="single" w:sz="4" w:space="0" w:color="FFFFFF"/>
            </w:tcBorders>
          </w:tcPr>
          <w:p w14:paraId="6557DAA9" w14:textId="77777777" w:rsidR="00722268" w:rsidRPr="00A56FDB" w:rsidRDefault="00722268" w:rsidP="004C1242">
            <w:pPr>
              <w:jc w:val="both"/>
              <w:rPr>
                <w:rFonts w:ascii="Arial" w:hAnsi="Arial" w:cs="Arial"/>
                <w:b/>
                <w:bCs/>
                <w:i/>
                <w:iCs/>
                <w:shd w:val="clear" w:color="auto" w:fill="FFFFFF"/>
              </w:rPr>
            </w:pPr>
            <w:r w:rsidRPr="00A56FDB">
              <w:rPr>
                <w:rFonts w:ascii="Arial" w:hAnsi="Arial" w:cs="Arial"/>
                <w:b/>
                <w:bCs/>
                <w:i/>
                <w:iCs/>
                <w:shd w:val="clear" w:color="auto" w:fill="FFFFFF"/>
              </w:rPr>
              <w:t xml:space="preserve">2.6 Subdivision – Consent Requirements </w:t>
            </w:r>
          </w:p>
          <w:p w14:paraId="766C78A2" w14:textId="77777777" w:rsidR="00722268" w:rsidRPr="00A56FDB" w:rsidRDefault="00722268" w:rsidP="004C1242">
            <w:pPr>
              <w:jc w:val="both"/>
              <w:rPr>
                <w:rFonts w:ascii="Arial" w:hAnsi="Arial" w:cs="Arial"/>
                <w:i/>
                <w:iCs/>
                <w:shd w:val="clear" w:color="auto" w:fill="FFFFFF"/>
              </w:rPr>
            </w:pPr>
            <w:r w:rsidRPr="00A56FDB">
              <w:rPr>
                <w:rFonts w:ascii="Arial" w:hAnsi="Arial" w:cs="Arial"/>
                <w:i/>
                <w:iCs/>
                <w:shd w:val="clear" w:color="auto" w:fill="FFFFFF"/>
              </w:rPr>
              <w:t>Land to which this Precinct Plan applies may be subdivided, but only with consent.</w:t>
            </w:r>
          </w:p>
        </w:tc>
        <w:tc>
          <w:tcPr>
            <w:tcW w:w="4110" w:type="dxa"/>
            <w:tcBorders>
              <w:top w:val="single" w:sz="4" w:space="0" w:color="FFFFFF"/>
            </w:tcBorders>
          </w:tcPr>
          <w:p w14:paraId="3A5CC6A1" w14:textId="77777777" w:rsidR="00722268" w:rsidRPr="00452571" w:rsidRDefault="00722268" w:rsidP="004C1242">
            <w:pPr>
              <w:spacing w:before="60" w:after="60"/>
              <w:jc w:val="both"/>
              <w:rPr>
                <w:rFonts w:ascii="Arial" w:hAnsi="Arial" w:cs="Arial"/>
              </w:rPr>
            </w:pPr>
          </w:p>
          <w:p w14:paraId="5EE07C66" w14:textId="77777777" w:rsidR="00F112F9" w:rsidRDefault="00F112F9" w:rsidP="004C1242">
            <w:pPr>
              <w:spacing w:before="60" w:after="60"/>
              <w:jc w:val="both"/>
              <w:rPr>
                <w:rFonts w:ascii="Arial" w:hAnsi="Arial" w:cs="Arial"/>
              </w:rPr>
            </w:pPr>
          </w:p>
          <w:p w14:paraId="143CD7FF" w14:textId="5A8C9943" w:rsidR="00722268" w:rsidRPr="00452571" w:rsidRDefault="00722268" w:rsidP="004C1242">
            <w:pPr>
              <w:spacing w:before="60" w:after="60"/>
              <w:jc w:val="both"/>
              <w:rPr>
                <w:rFonts w:ascii="Arial" w:hAnsi="Arial" w:cs="Arial"/>
              </w:rPr>
            </w:pPr>
            <w:r>
              <w:rPr>
                <w:rFonts w:ascii="Arial" w:hAnsi="Arial" w:cs="Arial"/>
              </w:rPr>
              <w:t>Subdivision is not sought with this DA</w:t>
            </w:r>
            <w:r w:rsidRPr="00452571">
              <w:rPr>
                <w:rFonts w:ascii="Arial" w:hAnsi="Arial" w:cs="Arial"/>
              </w:rPr>
              <w:t xml:space="preserve">. </w:t>
            </w:r>
          </w:p>
        </w:tc>
        <w:tc>
          <w:tcPr>
            <w:tcW w:w="1560" w:type="dxa"/>
            <w:tcBorders>
              <w:top w:val="single" w:sz="4" w:space="0" w:color="FFFFFF"/>
            </w:tcBorders>
          </w:tcPr>
          <w:p w14:paraId="7D370C61" w14:textId="77777777" w:rsidR="00722268" w:rsidRDefault="00722268" w:rsidP="004C1242">
            <w:pPr>
              <w:spacing w:before="60" w:after="60"/>
              <w:jc w:val="both"/>
              <w:rPr>
                <w:rFonts w:ascii="Arial" w:hAnsi="Arial" w:cs="Arial"/>
                <w:szCs w:val="22"/>
              </w:rPr>
            </w:pPr>
          </w:p>
          <w:p w14:paraId="43E2CEAA" w14:textId="77777777" w:rsidR="00722268" w:rsidRDefault="00722268" w:rsidP="004C1242">
            <w:pPr>
              <w:spacing w:before="60" w:after="60"/>
              <w:jc w:val="center"/>
              <w:rPr>
                <w:rFonts w:ascii="Arial" w:hAnsi="Arial" w:cs="Arial"/>
                <w:szCs w:val="22"/>
              </w:rPr>
            </w:pPr>
            <w:r>
              <w:rPr>
                <w:rFonts w:ascii="Arial" w:hAnsi="Arial" w:cs="Arial"/>
                <w:szCs w:val="22"/>
              </w:rPr>
              <w:t>Not applicable for the subject DA.</w:t>
            </w:r>
          </w:p>
        </w:tc>
      </w:tr>
      <w:tr w:rsidR="00722268" w14:paraId="500DD733" w14:textId="77777777" w:rsidTr="0063592B">
        <w:tc>
          <w:tcPr>
            <w:tcW w:w="3256" w:type="dxa"/>
            <w:tcBorders>
              <w:bottom w:val="single" w:sz="4" w:space="0" w:color="FFFFFF"/>
            </w:tcBorders>
          </w:tcPr>
          <w:p w14:paraId="171340B5" w14:textId="77777777" w:rsidR="00722268" w:rsidRPr="00A56FDB" w:rsidRDefault="00722268" w:rsidP="004C1242">
            <w:pPr>
              <w:jc w:val="both"/>
              <w:rPr>
                <w:rFonts w:ascii="Arial" w:hAnsi="Arial" w:cs="Arial"/>
                <w:b/>
                <w:bCs/>
                <w:i/>
                <w:iCs/>
                <w:shd w:val="clear" w:color="auto" w:fill="FFFFFF"/>
              </w:rPr>
            </w:pPr>
            <w:r w:rsidRPr="00A56FDB">
              <w:rPr>
                <w:rFonts w:ascii="Arial" w:hAnsi="Arial" w:cs="Arial"/>
                <w:b/>
                <w:bCs/>
                <w:i/>
                <w:iCs/>
                <w:shd w:val="clear" w:color="auto" w:fill="FFFFFF"/>
              </w:rPr>
              <w:t xml:space="preserve">4.1B Residential Density – Oran Park Precinct </w:t>
            </w:r>
          </w:p>
          <w:p w14:paraId="58A62B35" w14:textId="77777777" w:rsidR="00722268" w:rsidRPr="00A56FDB" w:rsidRDefault="00722268" w:rsidP="004C1242">
            <w:pPr>
              <w:jc w:val="both"/>
              <w:rPr>
                <w:rFonts w:ascii="Arial" w:hAnsi="Arial" w:cs="Arial"/>
                <w:i/>
                <w:iCs/>
              </w:rPr>
            </w:pPr>
            <w:r w:rsidRPr="00A56FDB">
              <w:rPr>
                <w:rFonts w:ascii="Arial" w:hAnsi="Arial" w:cs="Arial"/>
                <w:i/>
                <w:iCs/>
                <w:shd w:val="clear" w:color="auto" w:fill="FFFFFF"/>
              </w:rPr>
              <w:t>Development consent must not be granted to the subdivision of land intended to be used for residential purposes within the Oran Park Precinct unless the consent authority is satisfied that—</w:t>
            </w:r>
          </w:p>
          <w:p w14:paraId="79D466B8" w14:textId="77777777" w:rsidR="00722268" w:rsidRPr="00A56FDB" w:rsidRDefault="00722268" w:rsidP="004C1242">
            <w:pPr>
              <w:jc w:val="both"/>
              <w:rPr>
                <w:rFonts w:ascii="Arial" w:hAnsi="Arial" w:cs="Arial"/>
                <w:i/>
                <w:iCs/>
              </w:rPr>
            </w:pPr>
            <w:r w:rsidRPr="00A56FDB">
              <w:rPr>
                <w:rFonts w:ascii="Arial" w:hAnsi="Arial" w:cs="Arial"/>
                <w:i/>
                <w:iCs/>
              </w:rPr>
              <w:t xml:space="preserve">(a)  a development control plan has been prepared providing for not less than 7,540 new dwellings </w:t>
            </w:r>
            <w:r w:rsidRPr="00A56FDB">
              <w:rPr>
                <w:rFonts w:ascii="Arial" w:hAnsi="Arial" w:cs="Arial"/>
                <w:i/>
                <w:iCs/>
              </w:rPr>
              <w:lastRenderedPageBreak/>
              <w:t>within the Precinct and containing provisions to encourage a mix of dwelling types to be provided, and</w:t>
            </w:r>
          </w:p>
          <w:p w14:paraId="64759235" w14:textId="77777777" w:rsidR="00722268" w:rsidRDefault="00722268" w:rsidP="004C1242">
            <w:pPr>
              <w:jc w:val="both"/>
              <w:rPr>
                <w:rFonts w:ascii="Arial" w:hAnsi="Arial" w:cs="Arial"/>
                <w:i/>
                <w:iCs/>
              </w:rPr>
            </w:pPr>
            <w:r w:rsidRPr="00A56FDB">
              <w:rPr>
                <w:rFonts w:ascii="Arial" w:hAnsi="Arial" w:cs="Arial"/>
                <w:i/>
                <w:iCs/>
              </w:rPr>
              <w:t>(b)  the granting of consent would not preclude or impede that number of dwellings within the Precinct.</w:t>
            </w:r>
          </w:p>
          <w:p w14:paraId="0D76F4B7" w14:textId="77777777" w:rsidR="00722268" w:rsidRPr="00A56FDB" w:rsidRDefault="00722268" w:rsidP="004C1242">
            <w:pPr>
              <w:jc w:val="both"/>
              <w:rPr>
                <w:rFonts w:ascii="Arial" w:hAnsi="Arial" w:cs="Arial"/>
                <w:i/>
                <w:iCs/>
              </w:rPr>
            </w:pPr>
          </w:p>
        </w:tc>
        <w:tc>
          <w:tcPr>
            <w:tcW w:w="4110" w:type="dxa"/>
            <w:tcBorders>
              <w:bottom w:val="single" w:sz="4" w:space="0" w:color="FFFFFF"/>
            </w:tcBorders>
          </w:tcPr>
          <w:p w14:paraId="2796D4D1" w14:textId="77777777" w:rsidR="00722268" w:rsidRPr="00412EF7" w:rsidRDefault="00722268" w:rsidP="004C1242">
            <w:pPr>
              <w:jc w:val="both"/>
              <w:rPr>
                <w:rFonts w:ascii="Arial" w:hAnsi="Arial" w:cs="Arial"/>
              </w:rPr>
            </w:pPr>
          </w:p>
          <w:p w14:paraId="606F2293" w14:textId="77777777" w:rsidR="00722268" w:rsidRDefault="00722268" w:rsidP="004C1242">
            <w:pPr>
              <w:jc w:val="both"/>
              <w:rPr>
                <w:rFonts w:ascii="Arial" w:hAnsi="Arial" w:cs="Arial"/>
              </w:rPr>
            </w:pPr>
          </w:p>
          <w:p w14:paraId="228E5AA3" w14:textId="29C8ED63" w:rsidR="00722268" w:rsidRPr="00412EF7" w:rsidRDefault="00722268" w:rsidP="004C1242">
            <w:pPr>
              <w:jc w:val="both"/>
              <w:rPr>
                <w:rFonts w:ascii="Arial" w:hAnsi="Arial" w:cs="Arial"/>
              </w:rPr>
            </w:pPr>
            <w:r w:rsidRPr="00412EF7">
              <w:rPr>
                <w:rFonts w:ascii="Arial" w:hAnsi="Arial" w:cs="Arial"/>
              </w:rPr>
              <w:t xml:space="preserve">The subject proposal </w:t>
            </w:r>
            <w:r w:rsidR="00754C55">
              <w:rPr>
                <w:rFonts w:ascii="Arial" w:hAnsi="Arial" w:cs="Arial"/>
              </w:rPr>
              <w:t>provides</w:t>
            </w:r>
            <w:r>
              <w:rPr>
                <w:rFonts w:ascii="Arial" w:hAnsi="Arial" w:cs="Arial"/>
              </w:rPr>
              <w:t xml:space="preserve"> 177 units, which will further </w:t>
            </w:r>
            <w:r w:rsidRPr="00412EF7">
              <w:rPr>
                <w:rFonts w:ascii="Arial" w:hAnsi="Arial" w:cs="Arial"/>
              </w:rPr>
              <w:t xml:space="preserve">contribute to this target. </w:t>
            </w:r>
          </w:p>
          <w:p w14:paraId="4A37F502" w14:textId="77777777" w:rsidR="00722268" w:rsidRPr="00452571" w:rsidRDefault="00722268" w:rsidP="004C1242">
            <w:pPr>
              <w:spacing w:before="60" w:after="60"/>
              <w:jc w:val="both"/>
              <w:rPr>
                <w:rFonts w:ascii="Arial" w:hAnsi="Arial" w:cs="Arial"/>
              </w:rPr>
            </w:pPr>
          </w:p>
        </w:tc>
        <w:tc>
          <w:tcPr>
            <w:tcW w:w="1560" w:type="dxa"/>
            <w:tcBorders>
              <w:bottom w:val="single" w:sz="4" w:space="0" w:color="FFFFFF"/>
            </w:tcBorders>
          </w:tcPr>
          <w:p w14:paraId="433E18C5" w14:textId="77777777" w:rsidR="00722268" w:rsidRDefault="00722268" w:rsidP="00F112F9">
            <w:pPr>
              <w:spacing w:before="60" w:after="60"/>
              <w:rPr>
                <w:rFonts w:ascii="Arial" w:hAnsi="Arial" w:cs="Arial"/>
                <w:szCs w:val="22"/>
              </w:rPr>
            </w:pPr>
          </w:p>
          <w:p w14:paraId="25F70238" w14:textId="77777777" w:rsidR="00F112F9" w:rsidRDefault="00F112F9" w:rsidP="00F112F9">
            <w:pPr>
              <w:spacing w:before="60" w:after="60"/>
              <w:rPr>
                <w:rFonts w:ascii="Arial" w:hAnsi="Arial" w:cs="Arial"/>
                <w:szCs w:val="22"/>
              </w:rPr>
            </w:pPr>
          </w:p>
          <w:p w14:paraId="40491DED" w14:textId="77777777" w:rsidR="00722268" w:rsidRDefault="00722268" w:rsidP="004C1242">
            <w:pPr>
              <w:spacing w:before="60" w:after="60"/>
              <w:jc w:val="center"/>
              <w:rPr>
                <w:rFonts w:ascii="Arial" w:hAnsi="Arial" w:cs="Arial"/>
                <w:szCs w:val="22"/>
              </w:rPr>
            </w:pPr>
            <w:r>
              <w:rPr>
                <w:rFonts w:ascii="Arial" w:hAnsi="Arial" w:cs="Arial"/>
                <w:szCs w:val="22"/>
              </w:rPr>
              <w:t>Yes</w:t>
            </w:r>
          </w:p>
        </w:tc>
      </w:tr>
      <w:tr w:rsidR="00722268" w14:paraId="3315DE95" w14:textId="77777777" w:rsidTr="0063592B">
        <w:tc>
          <w:tcPr>
            <w:tcW w:w="3256" w:type="dxa"/>
            <w:tcBorders>
              <w:top w:val="single" w:sz="4" w:space="0" w:color="FFFFFF"/>
            </w:tcBorders>
          </w:tcPr>
          <w:p w14:paraId="3E05B205" w14:textId="77777777" w:rsidR="00722268" w:rsidRPr="00A56FDB" w:rsidRDefault="00722268" w:rsidP="00125B2B">
            <w:pPr>
              <w:jc w:val="both"/>
              <w:rPr>
                <w:rFonts w:ascii="Arial" w:hAnsi="Arial" w:cs="Arial"/>
                <w:b/>
                <w:bCs/>
                <w:i/>
                <w:iCs/>
                <w:shd w:val="clear" w:color="auto" w:fill="FFFFFF"/>
              </w:rPr>
            </w:pPr>
            <w:r w:rsidRPr="00A56FDB">
              <w:rPr>
                <w:rFonts w:ascii="Arial" w:hAnsi="Arial" w:cs="Arial"/>
                <w:b/>
                <w:bCs/>
                <w:i/>
                <w:iCs/>
                <w:shd w:val="clear" w:color="auto" w:fill="FFFFFF"/>
              </w:rPr>
              <w:t>4.3 Height of Buildings</w:t>
            </w:r>
          </w:p>
          <w:p w14:paraId="7B8B3245" w14:textId="450A1655" w:rsidR="00722268" w:rsidRPr="00A56FDB" w:rsidRDefault="00722268" w:rsidP="00125B2B">
            <w:pPr>
              <w:jc w:val="both"/>
              <w:rPr>
                <w:rFonts w:ascii="Arial" w:hAnsi="Arial" w:cs="Arial"/>
                <w:i/>
                <w:iCs/>
                <w:shd w:val="clear" w:color="auto" w:fill="FFFFFF"/>
              </w:rPr>
            </w:pPr>
            <w:r w:rsidRPr="00A56FDB">
              <w:rPr>
                <w:rFonts w:ascii="Arial" w:hAnsi="Arial" w:cs="Arial"/>
                <w:i/>
                <w:iCs/>
                <w:shd w:val="clear" w:color="auto" w:fill="FFFFFF"/>
              </w:rPr>
              <w:t>Except as provided by this section, the height of a building on any land is not to exceed the maximum height shown for the land on t</w:t>
            </w:r>
            <w:r w:rsidRPr="00A56FDB">
              <w:rPr>
                <w:rFonts w:ascii="Arial" w:hAnsi="Arial" w:cs="Arial"/>
                <w:i/>
                <w:iCs/>
                <w:color w:val="000000" w:themeColor="text1"/>
                <w:shd w:val="clear" w:color="auto" w:fill="FFFFFF"/>
              </w:rPr>
              <w:t>he </w:t>
            </w:r>
            <w:hyperlink r:id="rId8" w:tgtFrame="_blank" w:history="1">
              <w:r w:rsidRPr="00A56FDB">
                <w:rPr>
                  <w:rStyle w:val="frag-name"/>
                  <w:rFonts w:ascii="Arial" w:hAnsi="Arial" w:cs="Arial"/>
                  <w:i/>
                  <w:iCs/>
                  <w:color w:val="000000" w:themeColor="text1"/>
                  <w:shd w:val="clear" w:color="auto" w:fill="FFFFFF"/>
                </w:rPr>
                <w:t>Height of Buildings Map</w:t>
              </w:r>
            </w:hyperlink>
            <w:r w:rsidRPr="00A56FDB">
              <w:rPr>
                <w:rFonts w:ascii="Arial" w:hAnsi="Arial" w:cs="Arial"/>
                <w:i/>
                <w:iCs/>
                <w:color w:val="000000" w:themeColor="text1"/>
                <w:shd w:val="clear" w:color="auto" w:fill="FFFFFF"/>
              </w:rPr>
              <w:t xml:space="preserve">. </w:t>
            </w:r>
          </w:p>
        </w:tc>
        <w:tc>
          <w:tcPr>
            <w:tcW w:w="4110" w:type="dxa"/>
            <w:tcBorders>
              <w:top w:val="single" w:sz="4" w:space="0" w:color="FFFFFF"/>
            </w:tcBorders>
          </w:tcPr>
          <w:p w14:paraId="6D946ED9" w14:textId="77777777" w:rsidR="00125B2B" w:rsidRDefault="00125B2B" w:rsidP="00125B2B">
            <w:pPr>
              <w:jc w:val="both"/>
              <w:rPr>
                <w:rFonts w:ascii="Arial" w:hAnsi="Arial" w:cs="Arial"/>
              </w:rPr>
            </w:pPr>
          </w:p>
          <w:p w14:paraId="261473B5" w14:textId="1136F44A" w:rsidR="00722268" w:rsidRPr="00B14FE5" w:rsidRDefault="00722268" w:rsidP="00125B2B">
            <w:pPr>
              <w:jc w:val="both"/>
              <w:rPr>
                <w:rFonts w:ascii="Arial" w:hAnsi="Arial" w:cs="Arial"/>
              </w:rPr>
            </w:pPr>
            <w:r w:rsidRPr="00F112F9">
              <w:rPr>
                <w:rFonts w:ascii="Arial" w:hAnsi="Arial" w:cs="Arial"/>
              </w:rPr>
              <w:t xml:space="preserve">The site is subject to a maximum building height of 24m, pursuant to this clause. Whilst a large portion of the </w:t>
            </w:r>
            <w:r w:rsidRPr="00125B2B">
              <w:rPr>
                <w:rFonts w:ascii="Arial" w:hAnsi="Arial" w:cs="Arial"/>
              </w:rPr>
              <w:t xml:space="preserve">proposed built form is compliant, </w:t>
            </w:r>
            <w:r w:rsidR="00F112F9" w:rsidRPr="00125B2B">
              <w:rPr>
                <w:rFonts w:ascii="Arial" w:hAnsi="Arial" w:cs="Arial"/>
              </w:rPr>
              <w:t>a variation is sought to accommodate the lift risers on the rooftop level and small sections of the roof area.</w:t>
            </w:r>
            <w:r w:rsidRPr="00125B2B">
              <w:rPr>
                <w:rFonts w:ascii="Arial" w:hAnsi="Arial" w:cs="Arial"/>
              </w:rPr>
              <w:t xml:space="preserve"> As such, a maximum building height of </w:t>
            </w:r>
            <w:r w:rsidR="00B14FE5" w:rsidRPr="00125B2B">
              <w:rPr>
                <w:rFonts w:ascii="Arial" w:hAnsi="Arial" w:cs="Arial"/>
              </w:rPr>
              <w:t>25.8</w:t>
            </w:r>
            <w:r w:rsidR="00F112F9" w:rsidRPr="00125B2B">
              <w:rPr>
                <w:rFonts w:ascii="Arial" w:hAnsi="Arial" w:cs="Arial"/>
              </w:rPr>
              <w:t>m</w:t>
            </w:r>
            <w:r w:rsidRPr="00125B2B">
              <w:rPr>
                <w:rFonts w:ascii="Arial" w:hAnsi="Arial" w:cs="Arial"/>
              </w:rPr>
              <w:t xml:space="preserve"> is sought, contravening the development standard by </w:t>
            </w:r>
            <w:r w:rsidR="00B14FE5" w:rsidRPr="00125B2B">
              <w:rPr>
                <w:rFonts w:ascii="Arial" w:hAnsi="Arial" w:cs="Arial"/>
              </w:rPr>
              <w:t>1.</w:t>
            </w:r>
            <w:r w:rsidR="00F112F9" w:rsidRPr="00125B2B">
              <w:rPr>
                <w:rFonts w:ascii="Arial" w:hAnsi="Arial" w:cs="Arial"/>
              </w:rPr>
              <w:t>8</w:t>
            </w:r>
            <w:r w:rsidRPr="00125B2B">
              <w:rPr>
                <w:rFonts w:ascii="Arial" w:hAnsi="Arial" w:cs="Arial"/>
              </w:rPr>
              <w:t>m</w:t>
            </w:r>
            <w:r w:rsidR="00B14FE5" w:rsidRPr="00125B2B">
              <w:rPr>
                <w:rFonts w:ascii="Arial" w:hAnsi="Arial" w:cs="Arial"/>
              </w:rPr>
              <w:t xml:space="preserve"> or </w:t>
            </w:r>
            <w:r w:rsidR="00F112F9" w:rsidRPr="00125B2B">
              <w:rPr>
                <w:rFonts w:ascii="Arial" w:hAnsi="Arial" w:cs="Arial"/>
              </w:rPr>
              <w:t>7</w:t>
            </w:r>
            <w:r w:rsidR="00B14FE5" w:rsidRPr="00125B2B">
              <w:rPr>
                <w:rFonts w:ascii="Arial" w:hAnsi="Arial" w:cs="Arial"/>
              </w:rPr>
              <w:t>.5%</w:t>
            </w:r>
            <w:r w:rsidRPr="00125B2B">
              <w:rPr>
                <w:rFonts w:ascii="Arial" w:hAnsi="Arial" w:cs="Arial"/>
              </w:rPr>
              <w:t>.</w:t>
            </w:r>
            <w:r w:rsidRPr="00B14FE5">
              <w:rPr>
                <w:rFonts w:ascii="Arial" w:hAnsi="Arial" w:cs="Arial"/>
              </w:rPr>
              <w:t xml:space="preserve"> </w:t>
            </w:r>
          </w:p>
        </w:tc>
        <w:tc>
          <w:tcPr>
            <w:tcW w:w="1560" w:type="dxa"/>
            <w:tcBorders>
              <w:top w:val="single" w:sz="4" w:space="0" w:color="FFFFFF"/>
            </w:tcBorders>
          </w:tcPr>
          <w:p w14:paraId="196BB7D2" w14:textId="77777777" w:rsidR="00125B2B" w:rsidRDefault="00125B2B" w:rsidP="00125B2B">
            <w:pPr>
              <w:jc w:val="both"/>
              <w:rPr>
                <w:rFonts w:ascii="Arial" w:hAnsi="Arial" w:cs="Arial"/>
                <w:szCs w:val="22"/>
              </w:rPr>
            </w:pPr>
          </w:p>
          <w:p w14:paraId="79A7BD4B" w14:textId="6147B346" w:rsidR="00722268" w:rsidRPr="00125B2B" w:rsidRDefault="00722268" w:rsidP="00125B2B">
            <w:pPr>
              <w:jc w:val="both"/>
              <w:rPr>
                <w:rFonts w:ascii="Arial" w:hAnsi="Arial" w:cs="Arial"/>
                <w:szCs w:val="22"/>
              </w:rPr>
            </w:pPr>
            <w:r w:rsidRPr="00125B2B">
              <w:rPr>
                <w:rFonts w:ascii="Arial" w:hAnsi="Arial" w:cs="Arial"/>
                <w:szCs w:val="22"/>
              </w:rPr>
              <w:t xml:space="preserve">No </w:t>
            </w:r>
            <w:r w:rsidR="00125B2B">
              <w:rPr>
                <w:rFonts w:ascii="Arial" w:hAnsi="Arial" w:cs="Arial"/>
                <w:szCs w:val="22"/>
              </w:rPr>
              <w:t>(</w:t>
            </w:r>
            <w:r w:rsidRPr="00125B2B">
              <w:rPr>
                <w:rFonts w:ascii="Arial" w:hAnsi="Arial" w:cs="Arial"/>
                <w:szCs w:val="22"/>
              </w:rPr>
              <w:t xml:space="preserve">4.6 </w:t>
            </w:r>
            <w:r w:rsidR="00125B2B">
              <w:rPr>
                <w:rFonts w:ascii="Arial" w:hAnsi="Arial" w:cs="Arial"/>
                <w:szCs w:val="22"/>
              </w:rPr>
              <w:t xml:space="preserve">written request submitted) </w:t>
            </w:r>
          </w:p>
        </w:tc>
      </w:tr>
      <w:tr w:rsidR="00722268" w14:paraId="50F4E449" w14:textId="77777777" w:rsidTr="0063592B">
        <w:trPr>
          <w:trHeight w:val="1693"/>
        </w:trPr>
        <w:tc>
          <w:tcPr>
            <w:tcW w:w="3256" w:type="dxa"/>
          </w:tcPr>
          <w:p w14:paraId="6908C92D" w14:textId="77777777" w:rsidR="00722268" w:rsidRPr="00A56FDB" w:rsidRDefault="00722268" w:rsidP="001D291A">
            <w:pPr>
              <w:jc w:val="both"/>
              <w:rPr>
                <w:rFonts w:ascii="Arial" w:hAnsi="Arial" w:cs="Arial"/>
                <w:b/>
                <w:bCs/>
                <w:i/>
                <w:iCs/>
                <w:shd w:val="clear" w:color="auto" w:fill="FFFFFF"/>
              </w:rPr>
            </w:pPr>
            <w:r w:rsidRPr="00A56FDB">
              <w:rPr>
                <w:rFonts w:ascii="Arial" w:hAnsi="Arial" w:cs="Arial"/>
                <w:b/>
                <w:bCs/>
                <w:i/>
                <w:iCs/>
                <w:shd w:val="clear" w:color="auto" w:fill="FFFFFF"/>
              </w:rPr>
              <w:t>4.6 Exceptions to Development Standards</w:t>
            </w:r>
          </w:p>
          <w:p w14:paraId="111AB564" w14:textId="77777777" w:rsidR="00722268" w:rsidRDefault="00722268" w:rsidP="001D291A">
            <w:pPr>
              <w:jc w:val="both"/>
              <w:rPr>
                <w:rFonts w:ascii="Arial" w:hAnsi="Arial" w:cs="Arial"/>
                <w:i/>
                <w:iCs/>
                <w:shd w:val="clear" w:color="auto" w:fill="FFFFFF"/>
              </w:rPr>
            </w:pPr>
            <w:r w:rsidRPr="00A56FDB">
              <w:rPr>
                <w:rFonts w:ascii="Arial" w:hAnsi="Arial" w:cs="Arial"/>
                <w:i/>
                <w:iCs/>
                <w:shd w:val="clear" w:color="auto" w:fill="FFFFFF"/>
              </w:rPr>
              <w:t>Consent must not be granted for development that contravenes a development standard unless the relevant matters under this Section have been satisfied.</w:t>
            </w:r>
          </w:p>
          <w:p w14:paraId="48AD8256" w14:textId="77777777" w:rsidR="00722268" w:rsidRPr="00A56FDB" w:rsidRDefault="00722268" w:rsidP="001D291A">
            <w:pPr>
              <w:jc w:val="both"/>
              <w:rPr>
                <w:rFonts w:ascii="Arial" w:hAnsi="Arial" w:cs="Arial"/>
                <w:i/>
                <w:iCs/>
              </w:rPr>
            </w:pPr>
            <w:r w:rsidRPr="00A56FDB">
              <w:rPr>
                <w:rFonts w:ascii="Arial" w:hAnsi="Arial" w:cs="Arial"/>
                <w:i/>
                <w:iCs/>
                <w:shd w:val="clear" w:color="auto" w:fill="FFFFFF"/>
              </w:rPr>
              <w:t xml:space="preserve">  </w:t>
            </w:r>
          </w:p>
        </w:tc>
        <w:tc>
          <w:tcPr>
            <w:tcW w:w="4110" w:type="dxa"/>
          </w:tcPr>
          <w:p w14:paraId="436E023F" w14:textId="77777777" w:rsidR="00722268" w:rsidRPr="004F488F" w:rsidRDefault="00722268" w:rsidP="001D291A">
            <w:pPr>
              <w:jc w:val="both"/>
              <w:rPr>
                <w:rFonts w:ascii="Arial" w:hAnsi="Arial" w:cs="Arial"/>
                <w:szCs w:val="18"/>
              </w:rPr>
            </w:pPr>
          </w:p>
          <w:p w14:paraId="6E58FF07" w14:textId="77777777" w:rsidR="00722268" w:rsidRDefault="00722268" w:rsidP="001D291A">
            <w:pPr>
              <w:jc w:val="both"/>
              <w:rPr>
                <w:rFonts w:ascii="Arial" w:hAnsi="Arial" w:cs="Arial"/>
                <w:szCs w:val="18"/>
              </w:rPr>
            </w:pPr>
          </w:p>
          <w:p w14:paraId="26EE981A" w14:textId="31AC507B" w:rsidR="001D291A" w:rsidRDefault="001D291A" w:rsidP="001D291A">
            <w:pPr>
              <w:jc w:val="both"/>
              <w:rPr>
                <w:rFonts w:ascii="Arial" w:hAnsi="Arial" w:cs="Arial"/>
                <w:szCs w:val="18"/>
              </w:rPr>
            </w:pPr>
            <w:r>
              <w:rPr>
                <w:rFonts w:ascii="Arial" w:hAnsi="Arial" w:cs="Arial"/>
                <w:szCs w:val="18"/>
              </w:rPr>
              <w:t xml:space="preserve">A written 4.6 request has been submitted with the application. Consideration of the written request is made in the </w:t>
            </w:r>
            <w:r w:rsidR="00754C55">
              <w:rPr>
                <w:rFonts w:ascii="Arial" w:hAnsi="Arial" w:cs="Arial"/>
                <w:szCs w:val="18"/>
              </w:rPr>
              <w:t xml:space="preserve">main body of the </w:t>
            </w:r>
            <w:r>
              <w:rPr>
                <w:rFonts w:ascii="Arial" w:hAnsi="Arial" w:cs="Arial"/>
                <w:szCs w:val="18"/>
              </w:rPr>
              <w:t xml:space="preserve">assessment report. </w:t>
            </w:r>
          </w:p>
          <w:p w14:paraId="092BFEB1" w14:textId="77777777" w:rsidR="001D291A" w:rsidRDefault="001D291A" w:rsidP="001D291A">
            <w:pPr>
              <w:jc w:val="both"/>
              <w:rPr>
                <w:rFonts w:ascii="Arial" w:hAnsi="Arial" w:cs="Arial"/>
                <w:szCs w:val="18"/>
              </w:rPr>
            </w:pPr>
          </w:p>
          <w:p w14:paraId="673CAF12" w14:textId="16B56A1C" w:rsidR="00123D77" w:rsidRPr="00C8150F" w:rsidRDefault="00EA1AB9" w:rsidP="001D291A">
            <w:pPr>
              <w:jc w:val="both"/>
              <w:rPr>
                <w:rFonts w:ascii="Arial" w:hAnsi="Arial" w:cs="Arial"/>
                <w:szCs w:val="18"/>
              </w:rPr>
            </w:pPr>
            <w:r>
              <w:rPr>
                <w:rFonts w:ascii="Arial" w:hAnsi="Arial" w:cs="Arial"/>
                <w:szCs w:val="18"/>
              </w:rPr>
              <w:t xml:space="preserve"> </w:t>
            </w:r>
          </w:p>
        </w:tc>
        <w:tc>
          <w:tcPr>
            <w:tcW w:w="1560" w:type="dxa"/>
          </w:tcPr>
          <w:p w14:paraId="1E152560" w14:textId="77777777" w:rsidR="00722268" w:rsidRDefault="00722268" w:rsidP="001D291A">
            <w:pPr>
              <w:jc w:val="both"/>
              <w:rPr>
                <w:rFonts w:ascii="Arial" w:hAnsi="Arial" w:cs="Arial"/>
                <w:szCs w:val="22"/>
              </w:rPr>
            </w:pPr>
          </w:p>
          <w:p w14:paraId="376D00A8" w14:textId="77777777" w:rsidR="00722268" w:rsidRDefault="00722268" w:rsidP="001D291A">
            <w:pPr>
              <w:jc w:val="both"/>
              <w:rPr>
                <w:rFonts w:ascii="Arial" w:hAnsi="Arial" w:cs="Arial"/>
                <w:szCs w:val="22"/>
              </w:rPr>
            </w:pPr>
          </w:p>
          <w:p w14:paraId="2C479391" w14:textId="4854337A" w:rsidR="001D291A" w:rsidRPr="00125B2B" w:rsidRDefault="001D291A" w:rsidP="001D291A">
            <w:pPr>
              <w:jc w:val="center"/>
              <w:rPr>
                <w:rFonts w:ascii="Arial" w:hAnsi="Arial" w:cs="Arial"/>
                <w:szCs w:val="22"/>
              </w:rPr>
            </w:pPr>
            <w:r>
              <w:rPr>
                <w:rFonts w:ascii="Arial" w:hAnsi="Arial" w:cs="Arial"/>
                <w:szCs w:val="22"/>
              </w:rPr>
              <w:t>Yes</w:t>
            </w:r>
          </w:p>
        </w:tc>
      </w:tr>
      <w:tr w:rsidR="00722268" w14:paraId="05FBBBDB" w14:textId="77777777" w:rsidTr="0063592B">
        <w:trPr>
          <w:trHeight w:val="2248"/>
        </w:trPr>
        <w:tc>
          <w:tcPr>
            <w:tcW w:w="3256" w:type="dxa"/>
            <w:tcBorders>
              <w:top w:val="single" w:sz="4" w:space="0" w:color="FFFFFF"/>
              <w:bottom w:val="single" w:sz="4" w:space="0" w:color="FFFFFF"/>
            </w:tcBorders>
          </w:tcPr>
          <w:p w14:paraId="5DE6B0B7" w14:textId="77777777" w:rsidR="00722268" w:rsidRPr="00A56FDB" w:rsidRDefault="00722268" w:rsidP="004C1242">
            <w:pPr>
              <w:jc w:val="both"/>
              <w:rPr>
                <w:rFonts w:ascii="Arial" w:hAnsi="Arial" w:cs="Arial"/>
                <w:b/>
                <w:bCs/>
                <w:i/>
                <w:iCs/>
                <w:shd w:val="clear" w:color="auto" w:fill="FFFFFF"/>
              </w:rPr>
            </w:pPr>
            <w:r w:rsidRPr="00A56FDB">
              <w:rPr>
                <w:rFonts w:ascii="Arial" w:hAnsi="Arial" w:cs="Arial"/>
                <w:b/>
                <w:bCs/>
                <w:i/>
                <w:iCs/>
                <w:shd w:val="clear" w:color="auto" w:fill="FFFFFF"/>
              </w:rPr>
              <w:t xml:space="preserve">5.9 Preservation of trees and vegetation </w:t>
            </w:r>
          </w:p>
          <w:p w14:paraId="76164168" w14:textId="77777777" w:rsidR="00722268" w:rsidRPr="00A56FDB" w:rsidRDefault="00722268" w:rsidP="004C1242">
            <w:pPr>
              <w:jc w:val="both"/>
              <w:rPr>
                <w:rFonts w:ascii="Arial" w:hAnsi="Arial" w:cs="Arial"/>
                <w:i/>
                <w:iCs/>
                <w:shd w:val="clear" w:color="auto" w:fill="FFFFFF"/>
              </w:rPr>
            </w:pPr>
            <w:r w:rsidRPr="00A56FDB">
              <w:rPr>
                <w:rFonts w:ascii="Arial" w:hAnsi="Arial" w:cs="Arial"/>
                <w:i/>
                <w:iCs/>
                <w:shd w:val="clear" w:color="auto" w:fill="FFFFFF"/>
              </w:rPr>
              <w:t xml:space="preserve"> A person must not ringbark, cut down, top, lop, remove, injure or wilfully destroy any tree or other vegetation to which any such development control plan applies without the authority conferred by development consent. </w:t>
            </w:r>
          </w:p>
        </w:tc>
        <w:tc>
          <w:tcPr>
            <w:tcW w:w="4110" w:type="dxa"/>
            <w:tcBorders>
              <w:top w:val="single" w:sz="4" w:space="0" w:color="FFFFFF"/>
              <w:bottom w:val="single" w:sz="4" w:space="0" w:color="FFFFFF"/>
            </w:tcBorders>
          </w:tcPr>
          <w:p w14:paraId="4ED82652" w14:textId="3B8039B6" w:rsidR="00722268" w:rsidRPr="004F488F" w:rsidRDefault="00722268" w:rsidP="004C1242">
            <w:pPr>
              <w:jc w:val="both"/>
              <w:rPr>
                <w:rFonts w:ascii="Arial" w:hAnsi="Arial" w:cs="Arial"/>
                <w:szCs w:val="18"/>
              </w:rPr>
            </w:pPr>
          </w:p>
          <w:p w14:paraId="5542F539" w14:textId="77777777" w:rsidR="00722268" w:rsidRDefault="00722268" w:rsidP="004C1242">
            <w:pPr>
              <w:jc w:val="both"/>
              <w:rPr>
                <w:rFonts w:ascii="Arial" w:hAnsi="Arial" w:cs="Arial"/>
                <w:szCs w:val="18"/>
              </w:rPr>
            </w:pPr>
          </w:p>
          <w:p w14:paraId="04C678F5" w14:textId="77777777" w:rsidR="00722268" w:rsidRPr="004F488F" w:rsidRDefault="00722268" w:rsidP="004C1242">
            <w:pPr>
              <w:jc w:val="both"/>
              <w:rPr>
                <w:rFonts w:ascii="Arial" w:hAnsi="Arial" w:cs="Arial"/>
                <w:szCs w:val="18"/>
              </w:rPr>
            </w:pPr>
            <w:r w:rsidRPr="004F488F">
              <w:rPr>
                <w:rFonts w:ascii="Arial" w:hAnsi="Arial" w:cs="Arial"/>
                <w:szCs w:val="18"/>
              </w:rPr>
              <w:t>The site is currently clear and does not seek the removal of any vegetation and/or trees</w:t>
            </w:r>
            <w:r>
              <w:rPr>
                <w:rFonts w:ascii="Arial" w:hAnsi="Arial" w:cs="Arial"/>
                <w:szCs w:val="18"/>
              </w:rPr>
              <w:t xml:space="preserve"> (refer to the site inspection photos in the main assessment report)</w:t>
            </w:r>
            <w:r w:rsidRPr="004F488F">
              <w:rPr>
                <w:rFonts w:ascii="Arial" w:hAnsi="Arial" w:cs="Arial"/>
                <w:szCs w:val="18"/>
              </w:rPr>
              <w:t xml:space="preserve">. </w:t>
            </w:r>
          </w:p>
        </w:tc>
        <w:tc>
          <w:tcPr>
            <w:tcW w:w="1560" w:type="dxa"/>
            <w:tcBorders>
              <w:top w:val="single" w:sz="4" w:space="0" w:color="FFFFFF"/>
              <w:bottom w:val="single" w:sz="4" w:space="0" w:color="FFFFFF"/>
            </w:tcBorders>
          </w:tcPr>
          <w:p w14:paraId="4D1AFC09" w14:textId="77777777" w:rsidR="00722268" w:rsidRPr="004F488F" w:rsidRDefault="00722268" w:rsidP="004C1242">
            <w:pPr>
              <w:spacing w:before="60" w:after="60"/>
              <w:jc w:val="both"/>
              <w:rPr>
                <w:rFonts w:ascii="Arial" w:hAnsi="Arial" w:cs="Arial"/>
              </w:rPr>
            </w:pPr>
          </w:p>
          <w:p w14:paraId="1F43C57B" w14:textId="77777777" w:rsidR="00722268" w:rsidRPr="004F488F" w:rsidRDefault="00722268" w:rsidP="004C1242">
            <w:pPr>
              <w:spacing w:before="60" w:after="60"/>
              <w:jc w:val="center"/>
              <w:rPr>
                <w:rFonts w:ascii="Arial" w:hAnsi="Arial" w:cs="Arial"/>
              </w:rPr>
            </w:pPr>
            <w:r w:rsidRPr="004F488F">
              <w:rPr>
                <w:rFonts w:ascii="Arial" w:hAnsi="Arial" w:cs="Arial"/>
              </w:rPr>
              <w:t>Yes</w:t>
            </w:r>
          </w:p>
        </w:tc>
      </w:tr>
      <w:tr w:rsidR="00722268" w14:paraId="5ADA29C2" w14:textId="77777777" w:rsidTr="0063592B">
        <w:trPr>
          <w:trHeight w:val="2408"/>
        </w:trPr>
        <w:tc>
          <w:tcPr>
            <w:tcW w:w="3256" w:type="dxa"/>
            <w:tcBorders>
              <w:top w:val="single" w:sz="4" w:space="0" w:color="FFFFFF"/>
            </w:tcBorders>
          </w:tcPr>
          <w:p w14:paraId="25626E91" w14:textId="77777777" w:rsidR="00722268" w:rsidRPr="00A56FDB" w:rsidRDefault="00722268" w:rsidP="004C1242">
            <w:pPr>
              <w:jc w:val="both"/>
              <w:rPr>
                <w:rFonts w:ascii="Arial" w:hAnsi="Arial" w:cs="Arial"/>
                <w:b/>
                <w:bCs/>
                <w:i/>
                <w:iCs/>
                <w:shd w:val="clear" w:color="auto" w:fill="FFFFFF"/>
              </w:rPr>
            </w:pPr>
            <w:r w:rsidRPr="00A56FDB">
              <w:rPr>
                <w:rFonts w:ascii="Arial" w:hAnsi="Arial" w:cs="Arial"/>
                <w:b/>
                <w:bCs/>
                <w:i/>
                <w:iCs/>
                <w:shd w:val="clear" w:color="auto" w:fill="FFFFFF"/>
              </w:rPr>
              <w:t>5.10 Heritage Conservation</w:t>
            </w:r>
          </w:p>
          <w:p w14:paraId="4C387862" w14:textId="77777777" w:rsidR="00722268" w:rsidRPr="00A56FDB" w:rsidRDefault="00722268" w:rsidP="004C1242">
            <w:pPr>
              <w:jc w:val="both"/>
              <w:rPr>
                <w:rFonts w:ascii="Arial" w:hAnsi="Arial" w:cs="Arial"/>
                <w:i/>
                <w:iCs/>
              </w:rPr>
            </w:pPr>
            <w:r w:rsidRPr="00A56FDB">
              <w:rPr>
                <w:rFonts w:ascii="Arial" w:hAnsi="Arial" w:cs="Arial"/>
                <w:i/>
                <w:iCs/>
                <w:shd w:val="clear" w:color="auto" w:fill="FFFFFF"/>
              </w:rPr>
              <w:t xml:space="preserve">The objectives of this section are </w:t>
            </w:r>
            <w:r w:rsidRPr="00A56FDB">
              <w:rPr>
                <w:rFonts w:ascii="Arial" w:hAnsi="Arial" w:cs="Arial"/>
                <w:i/>
                <w:iCs/>
              </w:rPr>
              <w:t xml:space="preserve">to conserve the environmental heritage of the Oran Park Precinct and the Turner Road Precinct. </w:t>
            </w:r>
          </w:p>
        </w:tc>
        <w:tc>
          <w:tcPr>
            <w:tcW w:w="4110" w:type="dxa"/>
            <w:tcBorders>
              <w:top w:val="single" w:sz="4" w:space="0" w:color="FFFFFF"/>
            </w:tcBorders>
          </w:tcPr>
          <w:p w14:paraId="2D6F1AEC" w14:textId="77777777" w:rsidR="00722268" w:rsidRDefault="00722268" w:rsidP="004C1242">
            <w:pPr>
              <w:jc w:val="both"/>
              <w:rPr>
                <w:rFonts w:ascii="Arial" w:hAnsi="Arial" w:cs="Arial"/>
                <w:szCs w:val="18"/>
              </w:rPr>
            </w:pPr>
          </w:p>
          <w:p w14:paraId="3C273F1C" w14:textId="38F37209" w:rsidR="00722268" w:rsidRPr="004F488F" w:rsidRDefault="00722268" w:rsidP="004C1242">
            <w:pPr>
              <w:jc w:val="both"/>
              <w:rPr>
                <w:rFonts w:ascii="Arial" w:hAnsi="Arial" w:cs="Arial"/>
                <w:szCs w:val="18"/>
              </w:rPr>
            </w:pPr>
            <w:r w:rsidRPr="004F488F">
              <w:rPr>
                <w:rFonts w:ascii="Arial" w:hAnsi="Arial" w:cs="Arial"/>
                <w:szCs w:val="18"/>
              </w:rPr>
              <w:t xml:space="preserve">Detailed site investigations carried out as part of the rezoning phase of the precinct identified key conservation areas with regards to </w:t>
            </w:r>
            <w:r w:rsidRPr="003940B3">
              <w:rPr>
                <w:rFonts w:ascii="Arial" w:hAnsi="Arial" w:cs="Arial"/>
                <w:szCs w:val="18"/>
              </w:rPr>
              <w:t xml:space="preserve">Aboriginal Archaeology across Oran Park. </w:t>
            </w:r>
            <w:r w:rsidR="003940B3" w:rsidRPr="003940B3">
              <w:rPr>
                <w:rFonts w:ascii="Arial" w:hAnsi="Arial" w:cs="Arial"/>
                <w:szCs w:val="18"/>
              </w:rPr>
              <w:t>T</w:t>
            </w:r>
            <w:r w:rsidR="001D291A" w:rsidRPr="003940B3">
              <w:rPr>
                <w:rFonts w:ascii="Arial" w:hAnsi="Arial" w:cs="Arial"/>
                <w:szCs w:val="18"/>
              </w:rPr>
              <w:t xml:space="preserve">he development </w:t>
            </w:r>
            <w:r w:rsidR="003940B3">
              <w:rPr>
                <w:rFonts w:ascii="Arial" w:hAnsi="Arial" w:cs="Arial"/>
                <w:szCs w:val="18"/>
              </w:rPr>
              <w:t xml:space="preserve">site </w:t>
            </w:r>
            <w:r w:rsidR="001D291A" w:rsidRPr="003940B3">
              <w:rPr>
                <w:rFonts w:ascii="Arial" w:hAnsi="Arial" w:cs="Arial"/>
                <w:szCs w:val="18"/>
              </w:rPr>
              <w:t xml:space="preserve">benefits from the issue of </w:t>
            </w:r>
            <w:r w:rsidRPr="003940B3">
              <w:rPr>
                <w:rFonts w:ascii="Arial" w:hAnsi="Arial" w:cs="Arial"/>
                <w:szCs w:val="18"/>
              </w:rPr>
              <w:t xml:space="preserve">an Aboriginal Heritage Impact Permit (AHIP), which </w:t>
            </w:r>
            <w:r>
              <w:rPr>
                <w:rFonts w:ascii="Arial" w:hAnsi="Arial" w:cs="Arial"/>
                <w:szCs w:val="18"/>
              </w:rPr>
              <w:t>noted that there are no areas of significance within the site</w:t>
            </w:r>
            <w:r w:rsidRPr="004F488F">
              <w:rPr>
                <w:rFonts w:ascii="Arial" w:hAnsi="Arial" w:cs="Arial"/>
                <w:szCs w:val="18"/>
              </w:rPr>
              <w:t xml:space="preserve"> </w:t>
            </w:r>
            <w:r>
              <w:rPr>
                <w:rFonts w:ascii="Arial" w:hAnsi="Arial" w:cs="Arial"/>
                <w:szCs w:val="18"/>
              </w:rPr>
              <w:t>and therefore construction works can be carried out within consent from Heritage NSW.</w:t>
            </w:r>
            <w:r w:rsidRPr="004F488F">
              <w:rPr>
                <w:rFonts w:ascii="Arial" w:hAnsi="Arial" w:cs="Arial"/>
                <w:szCs w:val="18"/>
              </w:rPr>
              <w:t xml:space="preserve"> As such, the matters under this Section have been satisfied.</w:t>
            </w:r>
          </w:p>
        </w:tc>
        <w:tc>
          <w:tcPr>
            <w:tcW w:w="1560" w:type="dxa"/>
            <w:tcBorders>
              <w:top w:val="single" w:sz="4" w:space="0" w:color="FFFFFF"/>
            </w:tcBorders>
          </w:tcPr>
          <w:p w14:paraId="48ACE92B" w14:textId="77777777" w:rsidR="00722268" w:rsidRPr="004F488F" w:rsidRDefault="00722268" w:rsidP="004C1242">
            <w:pPr>
              <w:spacing w:before="60" w:after="60"/>
              <w:jc w:val="center"/>
              <w:rPr>
                <w:rFonts w:ascii="Arial" w:hAnsi="Arial" w:cs="Arial"/>
              </w:rPr>
            </w:pPr>
          </w:p>
          <w:p w14:paraId="2C79E1DA" w14:textId="77777777" w:rsidR="00722268" w:rsidRPr="004F488F" w:rsidRDefault="00722268" w:rsidP="004C1242">
            <w:pPr>
              <w:spacing w:before="60" w:after="60"/>
              <w:jc w:val="center"/>
              <w:rPr>
                <w:rFonts w:ascii="Arial" w:hAnsi="Arial" w:cs="Arial"/>
              </w:rPr>
            </w:pPr>
            <w:r w:rsidRPr="004F488F">
              <w:rPr>
                <w:rFonts w:ascii="Arial" w:hAnsi="Arial" w:cs="Arial"/>
              </w:rPr>
              <w:t>Yes</w:t>
            </w:r>
          </w:p>
        </w:tc>
      </w:tr>
      <w:tr w:rsidR="00722268" w14:paraId="24825B6E" w14:textId="77777777" w:rsidTr="0063592B">
        <w:trPr>
          <w:trHeight w:val="2907"/>
        </w:trPr>
        <w:tc>
          <w:tcPr>
            <w:tcW w:w="3256" w:type="dxa"/>
            <w:tcBorders>
              <w:bottom w:val="single" w:sz="4" w:space="0" w:color="FFFFFF"/>
            </w:tcBorders>
          </w:tcPr>
          <w:p w14:paraId="7E80CED7" w14:textId="77777777" w:rsidR="00722268" w:rsidRPr="00A56FDB" w:rsidRDefault="00722268" w:rsidP="004C1242">
            <w:pPr>
              <w:jc w:val="both"/>
              <w:rPr>
                <w:rFonts w:ascii="Arial" w:hAnsi="Arial" w:cs="Arial"/>
                <w:b/>
                <w:bCs/>
                <w:i/>
                <w:iCs/>
                <w:shd w:val="clear" w:color="auto" w:fill="FFFFFF"/>
              </w:rPr>
            </w:pPr>
            <w:r w:rsidRPr="00A56FDB">
              <w:rPr>
                <w:rFonts w:ascii="Arial" w:hAnsi="Arial" w:cs="Arial"/>
                <w:b/>
                <w:bCs/>
                <w:i/>
                <w:iCs/>
                <w:shd w:val="clear" w:color="auto" w:fill="FFFFFF"/>
              </w:rPr>
              <w:lastRenderedPageBreak/>
              <w:t xml:space="preserve">6.1 Public Utility Infrastructure </w:t>
            </w:r>
          </w:p>
          <w:p w14:paraId="2E8C065E" w14:textId="77777777" w:rsidR="00722268" w:rsidRPr="00A56FDB" w:rsidRDefault="00722268" w:rsidP="004C1242">
            <w:pPr>
              <w:jc w:val="both"/>
              <w:rPr>
                <w:rFonts w:ascii="Arial" w:hAnsi="Arial" w:cs="Arial"/>
                <w:i/>
                <w:iCs/>
                <w:shd w:val="clear" w:color="auto" w:fill="FFFFFF"/>
              </w:rPr>
            </w:pPr>
            <w:r w:rsidRPr="00A56FDB">
              <w:rPr>
                <w:rFonts w:ascii="Arial" w:hAnsi="Arial" w:cs="Arial"/>
                <w:i/>
                <w:iCs/>
                <w:shd w:val="clear" w:color="auto" w:fill="FFFFFF"/>
              </w:rPr>
              <w:t>The consent authority must not grant development consent to development on land to which this Precinct Plan applies unless is it is satisfied that any public utility infrastructure that is essential for the proposed development is available or that adequate arrangements have been made to make that infrastructure available when required.</w:t>
            </w:r>
          </w:p>
        </w:tc>
        <w:tc>
          <w:tcPr>
            <w:tcW w:w="4110" w:type="dxa"/>
            <w:tcBorders>
              <w:bottom w:val="single" w:sz="4" w:space="0" w:color="FFFFFF"/>
            </w:tcBorders>
          </w:tcPr>
          <w:p w14:paraId="4CDD0C27" w14:textId="77777777" w:rsidR="00722268" w:rsidRPr="004F488F" w:rsidRDefault="00722268" w:rsidP="004C1242">
            <w:pPr>
              <w:jc w:val="both"/>
              <w:rPr>
                <w:rFonts w:ascii="Arial" w:hAnsi="Arial" w:cs="Arial"/>
                <w:szCs w:val="18"/>
              </w:rPr>
            </w:pPr>
          </w:p>
          <w:p w14:paraId="5728235C" w14:textId="4C68EAB5" w:rsidR="00722268" w:rsidRPr="004F488F" w:rsidRDefault="00722268" w:rsidP="004C1242">
            <w:pPr>
              <w:jc w:val="both"/>
              <w:rPr>
                <w:rFonts w:ascii="Arial" w:hAnsi="Arial" w:cs="Arial"/>
                <w:szCs w:val="18"/>
              </w:rPr>
            </w:pPr>
            <w:r>
              <w:rPr>
                <w:rFonts w:ascii="Arial" w:hAnsi="Arial" w:cs="Arial"/>
                <w:szCs w:val="18"/>
              </w:rPr>
              <w:t xml:space="preserve">The site and surrounding land uses are well serviced with Public Utility Infrastructure which </w:t>
            </w:r>
            <w:r w:rsidR="00C8150F">
              <w:rPr>
                <w:rFonts w:ascii="Arial" w:hAnsi="Arial" w:cs="Arial"/>
                <w:szCs w:val="18"/>
              </w:rPr>
              <w:t>can</w:t>
            </w:r>
            <w:r>
              <w:rPr>
                <w:rFonts w:ascii="Arial" w:hAnsi="Arial" w:cs="Arial"/>
                <w:szCs w:val="18"/>
              </w:rPr>
              <w:t xml:space="preserve"> accommodate the proposed development. A standard condition is recommended in the consent to ensure ongoing compliance. </w:t>
            </w:r>
          </w:p>
        </w:tc>
        <w:tc>
          <w:tcPr>
            <w:tcW w:w="1560" w:type="dxa"/>
            <w:tcBorders>
              <w:bottom w:val="single" w:sz="4" w:space="0" w:color="FFFFFF"/>
            </w:tcBorders>
          </w:tcPr>
          <w:p w14:paraId="39E16F8B" w14:textId="77777777" w:rsidR="00722268" w:rsidRPr="004F488F" w:rsidRDefault="00722268" w:rsidP="004C1242">
            <w:pPr>
              <w:jc w:val="both"/>
              <w:rPr>
                <w:rFonts w:ascii="Arial" w:hAnsi="Arial" w:cs="Arial"/>
              </w:rPr>
            </w:pPr>
          </w:p>
          <w:p w14:paraId="1880E949" w14:textId="77777777" w:rsidR="00722268" w:rsidRPr="004F488F" w:rsidRDefault="00722268" w:rsidP="004C1242">
            <w:pPr>
              <w:jc w:val="center"/>
              <w:rPr>
                <w:rFonts w:ascii="Arial" w:hAnsi="Arial" w:cs="Arial"/>
              </w:rPr>
            </w:pPr>
            <w:r w:rsidRPr="004F488F">
              <w:rPr>
                <w:rFonts w:ascii="Arial" w:hAnsi="Arial" w:cs="Arial"/>
              </w:rPr>
              <w:t>Yes</w:t>
            </w:r>
          </w:p>
        </w:tc>
      </w:tr>
      <w:tr w:rsidR="00722268" w14:paraId="7B849DE0" w14:textId="77777777" w:rsidTr="0063592B">
        <w:trPr>
          <w:trHeight w:val="1321"/>
        </w:trPr>
        <w:tc>
          <w:tcPr>
            <w:tcW w:w="3256" w:type="dxa"/>
            <w:tcBorders>
              <w:top w:val="single" w:sz="4" w:space="0" w:color="FFFFFF"/>
              <w:bottom w:val="single" w:sz="4" w:space="0" w:color="FFFFFF" w:themeColor="background1"/>
            </w:tcBorders>
          </w:tcPr>
          <w:p w14:paraId="37FA507F" w14:textId="77777777" w:rsidR="00722268" w:rsidRPr="00A56FDB" w:rsidRDefault="00722268" w:rsidP="004C1242">
            <w:pPr>
              <w:jc w:val="both"/>
              <w:rPr>
                <w:rFonts w:ascii="Arial" w:hAnsi="Arial" w:cs="Arial"/>
                <w:b/>
                <w:bCs/>
                <w:i/>
                <w:iCs/>
                <w:shd w:val="clear" w:color="auto" w:fill="FFFFFF"/>
              </w:rPr>
            </w:pPr>
            <w:r w:rsidRPr="00A56FDB">
              <w:rPr>
                <w:rFonts w:ascii="Arial" w:hAnsi="Arial" w:cs="Arial"/>
                <w:b/>
                <w:bCs/>
                <w:i/>
                <w:iCs/>
                <w:shd w:val="clear" w:color="auto" w:fill="FFFFFF"/>
              </w:rPr>
              <w:t xml:space="preserve">6.6 Development in special areas </w:t>
            </w:r>
          </w:p>
          <w:p w14:paraId="18EEE132" w14:textId="77777777" w:rsidR="00722268" w:rsidRPr="00A56FDB" w:rsidRDefault="00722268" w:rsidP="004C1242">
            <w:pPr>
              <w:jc w:val="both"/>
              <w:rPr>
                <w:rFonts w:ascii="Arial" w:hAnsi="Arial" w:cs="Arial"/>
                <w:i/>
                <w:iCs/>
                <w:shd w:val="clear" w:color="auto" w:fill="FFFFFF"/>
              </w:rPr>
            </w:pPr>
            <w:r w:rsidRPr="00A56FDB">
              <w:rPr>
                <w:rFonts w:ascii="Arial" w:hAnsi="Arial" w:cs="Arial"/>
                <w:i/>
                <w:iCs/>
                <w:shd w:val="clear" w:color="auto" w:fill="FFFFFF"/>
              </w:rPr>
              <w:t>This section applies to land shown a</w:t>
            </w:r>
            <w:r w:rsidRPr="00A56FDB">
              <w:rPr>
                <w:rFonts w:ascii="Arial" w:hAnsi="Arial" w:cs="Arial"/>
                <w:i/>
                <w:iCs/>
                <w:color w:val="000000" w:themeColor="text1"/>
                <w:shd w:val="clear" w:color="auto" w:fill="FFFFFF"/>
              </w:rPr>
              <w:t>s being in a special area on the </w:t>
            </w:r>
            <w:hyperlink r:id="rId9" w:tgtFrame="_blank" w:history="1">
              <w:r w:rsidRPr="00A56FDB">
                <w:rPr>
                  <w:rStyle w:val="frag-name"/>
                  <w:rFonts w:ascii="Arial" w:hAnsi="Arial" w:cs="Arial"/>
                  <w:i/>
                  <w:iCs/>
                  <w:color w:val="000000" w:themeColor="text1"/>
                  <w:shd w:val="clear" w:color="auto" w:fill="FFFFFF"/>
                </w:rPr>
                <w:t>Special Areas Map</w:t>
              </w:r>
            </w:hyperlink>
            <w:r w:rsidRPr="00A56FDB">
              <w:rPr>
                <w:rFonts w:ascii="Arial" w:hAnsi="Arial" w:cs="Arial"/>
                <w:i/>
                <w:iCs/>
                <w:color w:val="000000" w:themeColor="text1"/>
                <w:shd w:val="clear" w:color="auto" w:fill="FFFFFF"/>
              </w:rPr>
              <w:t>.</w:t>
            </w:r>
          </w:p>
        </w:tc>
        <w:tc>
          <w:tcPr>
            <w:tcW w:w="4110" w:type="dxa"/>
            <w:tcBorders>
              <w:top w:val="single" w:sz="4" w:space="0" w:color="FFFFFF"/>
              <w:bottom w:val="single" w:sz="4" w:space="0" w:color="FFFFFF" w:themeColor="background1"/>
            </w:tcBorders>
          </w:tcPr>
          <w:p w14:paraId="1F41F277" w14:textId="77777777" w:rsidR="00722268" w:rsidRDefault="00722268" w:rsidP="004C1242">
            <w:pPr>
              <w:jc w:val="both"/>
              <w:rPr>
                <w:rFonts w:ascii="Arial" w:hAnsi="Arial" w:cs="Arial"/>
                <w:szCs w:val="18"/>
              </w:rPr>
            </w:pPr>
          </w:p>
          <w:p w14:paraId="3FFF74A8" w14:textId="77777777" w:rsidR="00722268" w:rsidRDefault="00722268" w:rsidP="004C1242">
            <w:pPr>
              <w:jc w:val="both"/>
              <w:rPr>
                <w:rFonts w:ascii="Arial" w:hAnsi="Arial" w:cs="Arial"/>
                <w:szCs w:val="18"/>
              </w:rPr>
            </w:pPr>
          </w:p>
          <w:p w14:paraId="462B1810" w14:textId="77777777" w:rsidR="00722268" w:rsidRPr="004F488F" w:rsidRDefault="00722268" w:rsidP="004C1242">
            <w:pPr>
              <w:jc w:val="both"/>
              <w:rPr>
                <w:rFonts w:ascii="Arial" w:hAnsi="Arial" w:cs="Arial"/>
                <w:szCs w:val="18"/>
              </w:rPr>
            </w:pPr>
            <w:r>
              <w:rPr>
                <w:rFonts w:ascii="Arial" w:hAnsi="Arial" w:cs="Arial"/>
                <w:szCs w:val="18"/>
              </w:rPr>
              <w:t xml:space="preserve">The site falls within the Oran Park Precinct Plan.  </w:t>
            </w:r>
          </w:p>
        </w:tc>
        <w:tc>
          <w:tcPr>
            <w:tcW w:w="1560" w:type="dxa"/>
            <w:tcBorders>
              <w:top w:val="single" w:sz="4" w:space="0" w:color="FFFFFF"/>
              <w:bottom w:val="single" w:sz="4" w:space="0" w:color="FFFFFF" w:themeColor="background1"/>
            </w:tcBorders>
          </w:tcPr>
          <w:p w14:paraId="7E46FF24" w14:textId="77777777" w:rsidR="00722268" w:rsidRDefault="00722268" w:rsidP="004C1242">
            <w:pPr>
              <w:jc w:val="both"/>
              <w:rPr>
                <w:rFonts w:ascii="Arial" w:hAnsi="Arial" w:cs="Arial"/>
                <w:szCs w:val="18"/>
              </w:rPr>
            </w:pPr>
          </w:p>
          <w:p w14:paraId="04B70669" w14:textId="77777777" w:rsidR="00722268" w:rsidRDefault="00722268" w:rsidP="004C1242">
            <w:pPr>
              <w:jc w:val="both"/>
              <w:rPr>
                <w:rFonts w:ascii="Arial" w:hAnsi="Arial" w:cs="Arial"/>
                <w:szCs w:val="18"/>
              </w:rPr>
            </w:pPr>
          </w:p>
          <w:p w14:paraId="7C7DA735" w14:textId="77777777" w:rsidR="00722268" w:rsidRPr="004F488F" w:rsidRDefault="00722268" w:rsidP="004C1242">
            <w:pPr>
              <w:jc w:val="center"/>
              <w:rPr>
                <w:rFonts w:ascii="Arial" w:hAnsi="Arial" w:cs="Arial"/>
                <w:szCs w:val="18"/>
              </w:rPr>
            </w:pPr>
            <w:r>
              <w:rPr>
                <w:rFonts w:ascii="Arial" w:hAnsi="Arial" w:cs="Arial"/>
                <w:szCs w:val="18"/>
              </w:rPr>
              <w:t xml:space="preserve">Yes </w:t>
            </w:r>
          </w:p>
        </w:tc>
      </w:tr>
      <w:tr w:rsidR="00722268" w14:paraId="16B76F3A" w14:textId="77777777" w:rsidTr="0063592B">
        <w:tc>
          <w:tcPr>
            <w:tcW w:w="3256" w:type="dxa"/>
            <w:tcBorders>
              <w:top w:val="single" w:sz="4" w:space="0" w:color="FFFFFF" w:themeColor="background1"/>
            </w:tcBorders>
          </w:tcPr>
          <w:p w14:paraId="29A9A3DF" w14:textId="77777777" w:rsidR="00722268" w:rsidRPr="00A56FDB" w:rsidRDefault="00722268" w:rsidP="004C1242">
            <w:pPr>
              <w:jc w:val="both"/>
              <w:rPr>
                <w:rFonts w:ascii="Arial" w:hAnsi="Arial" w:cs="Arial"/>
                <w:i/>
                <w:iCs/>
              </w:rPr>
            </w:pPr>
            <w:r w:rsidRPr="00A56FDB">
              <w:rPr>
                <w:rFonts w:ascii="Arial" w:hAnsi="Arial" w:cs="Arial"/>
                <w:i/>
                <w:iCs/>
              </w:rPr>
              <w:t>The consent authority must not grant development consent for development on land in a special area unless a development control plan that provides for detailed development controls has been prepared for the land.</w:t>
            </w:r>
          </w:p>
          <w:p w14:paraId="6C006179" w14:textId="77777777" w:rsidR="00722268" w:rsidRPr="00A56FDB" w:rsidRDefault="00722268" w:rsidP="004C1242">
            <w:pPr>
              <w:jc w:val="both"/>
              <w:rPr>
                <w:rFonts w:ascii="Arial" w:hAnsi="Arial" w:cs="Arial"/>
                <w:i/>
                <w:iCs/>
                <w:shd w:val="clear" w:color="auto" w:fill="FFFFFF"/>
              </w:rPr>
            </w:pPr>
          </w:p>
        </w:tc>
        <w:tc>
          <w:tcPr>
            <w:tcW w:w="4110" w:type="dxa"/>
            <w:tcBorders>
              <w:top w:val="single" w:sz="4" w:space="0" w:color="FFFFFF" w:themeColor="background1"/>
            </w:tcBorders>
          </w:tcPr>
          <w:p w14:paraId="65A85963" w14:textId="319DE63B" w:rsidR="00722268" w:rsidRPr="004F488F" w:rsidRDefault="00722268" w:rsidP="004C1242">
            <w:pPr>
              <w:jc w:val="both"/>
              <w:rPr>
                <w:rFonts w:ascii="Arial" w:hAnsi="Arial" w:cs="Arial"/>
                <w:szCs w:val="18"/>
              </w:rPr>
            </w:pPr>
            <w:r>
              <w:rPr>
                <w:rFonts w:ascii="Arial" w:hAnsi="Arial" w:cs="Arial"/>
                <w:szCs w:val="18"/>
              </w:rPr>
              <w:t>The site is subject to the Oran Park Development Control Plan. A detailed assessment is provided as a</w:t>
            </w:r>
            <w:r w:rsidR="00C8150F">
              <w:rPr>
                <w:rFonts w:ascii="Arial" w:hAnsi="Arial" w:cs="Arial"/>
                <w:szCs w:val="18"/>
              </w:rPr>
              <w:t xml:space="preserve"> separate</w:t>
            </w:r>
            <w:r>
              <w:rPr>
                <w:rFonts w:ascii="Arial" w:hAnsi="Arial" w:cs="Arial"/>
                <w:szCs w:val="18"/>
              </w:rPr>
              <w:t xml:space="preserve"> attachment to this report.</w:t>
            </w:r>
          </w:p>
        </w:tc>
        <w:tc>
          <w:tcPr>
            <w:tcW w:w="1560" w:type="dxa"/>
            <w:tcBorders>
              <w:top w:val="single" w:sz="4" w:space="0" w:color="FFFFFF" w:themeColor="background1"/>
            </w:tcBorders>
          </w:tcPr>
          <w:p w14:paraId="067A23AE" w14:textId="77777777" w:rsidR="00722268" w:rsidRPr="004F488F" w:rsidRDefault="00722268" w:rsidP="004C1242">
            <w:pPr>
              <w:jc w:val="center"/>
              <w:rPr>
                <w:rFonts w:ascii="Arial" w:hAnsi="Arial" w:cs="Arial"/>
                <w:szCs w:val="18"/>
              </w:rPr>
            </w:pPr>
            <w:r>
              <w:rPr>
                <w:rFonts w:ascii="Arial" w:hAnsi="Arial" w:cs="Arial"/>
                <w:szCs w:val="18"/>
              </w:rPr>
              <w:t>Yes – Refer to the attached assessment.</w:t>
            </w:r>
          </w:p>
        </w:tc>
      </w:tr>
    </w:tbl>
    <w:p w14:paraId="5729BFA4" w14:textId="49E0FCB4" w:rsidR="0063592B" w:rsidRPr="0063592B" w:rsidRDefault="0063592B" w:rsidP="0063592B">
      <w:pPr>
        <w:tabs>
          <w:tab w:val="left" w:pos="5640"/>
        </w:tabs>
      </w:pPr>
    </w:p>
    <w:sectPr w:rsidR="0063592B" w:rsidRPr="0063592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D3E2" w14:textId="77777777" w:rsidR="00C64FF4" w:rsidRDefault="00C64FF4" w:rsidP="00722268">
      <w:pPr>
        <w:spacing w:after="0" w:line="240" w:lineRule="auto"/>
      </w:pPr>
      <w:r>
        <w:separator/>
      </w:r>
    </w:p>
  </w:endnote>
  <w:endnote w:type="continuationSeparator" w:id="0">
    <w:p w14:paraId="4060EFFA" w14:textId="77777777" w:rsidR="00C64FF4" w:rsidRDefault="00C64FF4" w:rsidP="0072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E63" w14:textId="77777777" w:rsidR="00CF52C8" w:rsidRDefault="00CF5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768047"/>
      <w:docPartObj>
        <w:docPartGallery w:val="Page Numbers (Bottom of Page)"/>
        <w:docPartUnique/>
      </w:docPartObj>
    </w:sdtPr>
    <w:sdtEndPr>
      <w:rPr>
        <w:noProof/>
      </w:rPr>
    </w:sdtEndPr>
    <w:sdtContent>
      <w:p w14:paraId="62166BD2" w14:textId="29ED5473" w:rsidR="00AD0F0C" w:rsidRDefault="00AD0F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8A7F3" w14:textId="77777777" w:rsidR="00722268" w:rsidRDefault="00722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2A60" w14:textId="77777777" w:rsidR="00CF52C8" w:rsidRDefault="00CF5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ED81" w14:textId="77777777" w:rsidR="00C64FF4" w:rsidRDefault="00C64FF4" w:rsidP="00722268">
      <w:pPr>
        <w:spacing w:after="0" w:line="240" w:lineRule="auto"/>
      </w:pPr>
      <w:r>
        <w:separator/>
      </w:r>
    </w:p>
  </w:footnote>
  <w:footnote w:type="continuationSeparator" w:id="0">
    <w:p w14:paraId="3A32338D" w14:textId="77777777" w:rsidR="00C64FF4" w:rsidRDefault="00C64FF4" w:rsidP="0072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C5B7" w14:textId="77777777" w:rsidR="00CF52C8" w:rsidRDefault="00CF5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083159"/>
      <w:docPartObj>
        <w:docPartGallery w:val="Page Numbers (Top of Page)"/>
        <w:docPartUnique/>
      </w:docPartObj>
    </w:sdtPr>
    <w:sdtEndPr>
      <w:rPr>
        <w:rFonts w:ascii="Arial" w:hAnsi="Arial" w:cs="Arial"/>
        <w:b/>
        <w:bCs/>
        <w:noProof/>
      </w:rPr>
    </w:sdtEndPr>
    <w:sdtContent>
      <w:p w14:paraId="0A8E4CB6" w14:textId="398027E7" w:rsidR="00722268" w:rsidRPr="00AD0F0C" w:rsidRDefault="00AD0F0C">
        <w:pPr>
          <w:pStyle w:val="Header"/>
          <w:jc w:val="center"/>
          <w:rPr>
            <w:rFonts w:ascii="Arial" w:hAnsi="Arial" w:cs="Arial"/>
            <w:b/>
            <w:bCs/>
          </w:rPr>
        </w:pPr>
        <w:r w:rsidRPr="00AD0F0C">
          <w:rPr>
            <w:rFonts w:ascii="Arial" w:hAnsi="Arial" w:cs="Arial"/>
            <w:b/>
            <w:bCs/>
          </w:rPr>
          <w:t xml:space="preserve">State Environmental Planning Policy (Precincts – Western Parklands City) 2021 – Appendix 2 Oran Park and Turner Road Precinct Plan Assessment </w:t>
        </w:r>
        <w:r w:rsidR="00CF52C8">
          <w:rPr>
            <w:rFonts w:ascii="Arial" w:hAnsi="Arial" w:cs="Arial"/>
            <w:b/>
            <w:bCs/>
          </w:rPr>
          <w:t>Table</w:t>
        </w:r>
      </w:p>
    </w:sdtContent>
  </w:sdt>
  <w:p w14:paraId="3596EAD3" w14:textId="53E81C30" w:rsidR="00722268" w:rsidRPr="00722268" w:rsidRDefault="00722268" w:rsidP="00722268">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8AB0" w14:textId="77777777" w:rsidR="00CF52C8" w:rsidRDefault="00CF5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049D7"/>
    <w:multiLevelType w:val="hybridMultilevel"/>
    <w:tmpl w:val="6B10CA40"/>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A32553"/>
    <w:multiLevelType w:val="hybridMultilevel"/>
    <w:tmpl w:val="A83C91CE"/>
    <w:lvl w:ilvl="0" w:tplc="16AABE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375236">
    <w:abstractNumId w:val="0"/>
  </w:num>
  <w:num w:numId="2" w16cid:durableId="123577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68"/>
    <w:rsid w:val="00123D77"/>
    <w:rsid w:val="00125B2B"/>
    <w:rsid w:val="001D291A"/>
    <w:rsid w:val="003940B3"/>
    <w:rsid w:val="0063592B"/>
    <w:rsid w:val="006807AD"/>
    <w:rsid w:val="00722268"/>
    <w:rsid w:val="00754C55"/>
    <w:rsid w:val="008A3CFF"/>
    <w:rsid w:val="00AB51B2"/>
    <w:rsid w:val="00AD0F0C"/>
    <w:rsid w:val="00B14FE5"/>
    <w:rsid w:val="00C64FF4"/>
    <w:rsid w:val="00C7112D"/>
    <w:rsid w:val="00C8150F"/>
    <w:rsid w:val="00CF52C8"/>
    <w:rsid w:val="00E12F92"/>
    <w:rsid w:val="00EA1AB9"/>
    <w:rsid w:val="00EA4043"/>
    <w:rsid w:val="00F11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F4568"/>
  <w15:chartTrackingRefBased/>
  <w15:docId w15:val="{22105ACB-3427-402F-8258-8580B999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226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268"/>
    <w:pPr>
      <w:spacing w:after="0" w:line="240" w:lineRule="auto"/>
      <w:ind w:left="720"/>
      <w:contextualSpacing/>
    </w:pPr>
    <w:rPr>
      <w:rFonts w:ascii="Calibri" w:eastAsia="Calibri" w:hAnsi="Calibri" w:cs="Times New Roman"/>
      <w:kern w:val="0"/>
      <w14:ligatures w14:val="none"/>
    </w:rPr>
  </w:style>
  <w:style w:type="character" w:styleId="CommentReference">
    <w:name w:val="annotation reference"/>
    <w:basedOn w:val="DefaultParagraphFont"/>
    <w:semiHidden/>
    <w:unhideWhenUsed/>
    <w:rsid w:val="00722268"/>
    <w:rPr>
      <w:sz w:val="16"/>
      <w:szCs w:val="16"/>
    </w:rPr>
  </w:style>
  <w:style w:type="paragraph" w:styleId="CommentText">
    <w:name w:val="annotation text"/>
    <w:basedOn w:val="Normal"/>
    <w:link w:val="CommentTextChar"/>
    <w:unhideWhenUsed/>
    <w:rsid w:val="00722268"/>
    <w:pPr>
      <w:spacing w:after="0" w:line="240" w:lineRule="auto"/>
    </w:pPr>
    <w:rPr>
      <w:rFonts w:ascii="Bookman Old Style" w:eastAsia="Times New Roman" w:hAnsi="Bookman Old Style" w:cs="Times New Roman"/>
      <w:kern w:val="0"/>
      <w:sz w:val="20"/>
      <w:szCs w:val="20"/>
      <w14:ligatures w14:val="none"/>
    </w:rPr>
  </w:style>
  <w:style w:type="character" w:customStyle="1" w:styleId="CommentTextChar">
    <w:name w:val="Comment Text Char"/>
    <w:basedOn w:val="DefaultParagraphFont"/>
    <w:link w:val="CommentText"/>
    <w:rsid w:val="00722268"/>
    <w:rPr>
      <w:rFonts w:ascii="Bookman Old Style" w:eastAsia="Times New Roman" w:hAnsi="Bookman Old Style" w:cs="Times New Roman"/>
      <w:kern w:val="0"/>
      <w:sz w:val="20"/>
      <w:szCs w:val="20"/>
      <w14:ligatures w14:val="none"/>
    </w:rPr>
  </w:style>
  <w:style w:type="character" w:customStyle="1" w:styleId="frag-name">
    <w:name w:val="frag-name"/>
    <w:basedOn w:val="DefaultParagraphFont"/>
    <w:rsid w:val="00722268"/>
  </w:style>
  <w:style w:type="paragraph" w:styleId="Header">
    <w:name w:val="header"/>
    <w:basedOn w:val="Normal"/>
    <w:link w:val="HeaderChar"/>
    <w:uiPriority w:val="99"/>
    <w:unhideWhenUsed/>
    <w:rsid w:val="00722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268"/>
  </w:style>
  <w:style w:type="paragraph" w:styleId="Footer">
    <w:name w:val="footer"/>
    <w:basedOn w:val="Normal"/>
    <w:link w:val="FooterChar"/>
    <w:uiPriority w:val="99"/>
    <w:unhideWhenUsed/>
    <w:rsid w:val="00722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ingportal.nsw.gov.au/publications/environmental-planning-instruments/state-environmental-planning-policy-precincts-western-parkland-city-202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lanningportal.nsw.gov.au/publications/environmental-planning-instruments/state-environmental-planning-policy-precincts-western-parkland-city-202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nningportal.nsw.gov.au/publications/environmental-planning-instruments/state-environmental-planning-policy-precincts-western-parkland-city-202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1454</Words>
  <Characters>7737</Characters>
  <Application>Microsoft Office Word</Application>
  <DocSecurity>0</DocSecurity>
  <Lines>351</Lines>
  <Paragraphs>90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Poulton</dc:creator>
  <cp:keywords/>
  <dc:description/>
  <cp:lastModifiedBy>Jamie Erken</cp:lastModifiedBy>
  <cp:revision>13</cp:revision>
  <dcterms:created xsi:type="dcterms:W3CDTF">2023-11-16T00:20:00Z</dcterms:created>
  <dcterms:modified xsi:type="dcterms:W3CDTF">2023-11-30T21:06:00Z</dcterms:modified>
</cp:coreProperties>
</file>